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u w:val="single"/>
        </w:rPr>
        <w:t xml:space="preserve"> </w:t>
      </w:r>
      <w:r>
        <w:rPr>
          <w:rFonts w:hint="eastAsia" w:ascii="黑体" w:hAnsi="黑体" w:eastAsia="黑体"/>
          <w:bCs/>
          <w:color w:val="000000"/>
          <w:sz w:val="52"/>
          <w:szCs w:val="52"/>
          <w:u w:val="single"/>
          <w:lang w:eastAsia="zh-CN"/>
        </w:rPr>
        <w:t>莲花山保护中心</w:t>
      </w:r>
      <w:r>
        <w:rPr>
          <w:rFonts w:hint="eastAsia" w:ascii="黑体" w:hAnsi="黑体" w:eastAsia="黑体"/>
          <w:bCs/>
          <w:color w:val="000000"/>
          <w:sz w:val="52"/>
          <w:szCs w:val="52"/>
          <w:u w:val="single"/>
        </w:rPr>
        <w:t xml:space="preserve"> </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single"/>
          <w:lang w:eastAsia="zh-CN"/>
        </w:rPr>
        <w:t>柳州市莲花山保护中心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single"/>
          <w:lang w:eastAsia="zh-CN"/>
        </w:rPr>
        <w:t>柳州市莲花山保护中心</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single"/>
          <w:lang w:eastAsia="zh-CN"/>
        </w:rPr>
        <w:t>柳州市莲花山保护中心</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hint="eastAsia"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single"/>
          <w:lang w:eastAsia="zh-CN"/>
        </w:rPr>
        <w:t>柳州市莲花山保护中心</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柳州市莲花山保护中心（三门江国家森林公园管理处）负责莲花山保护的日常监督管理工作，主要职责是：</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（一）贯彻执行有关法律、法规和《柳州市莲花山保护条例》。</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（二）组织调查莲花山的自然和人文资源，建立数据档案，做好莲花山保护范围和三门江国家森林公园生态保护与修复工作。</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（三）负责组织开展莲花山保护宣传教育活动，承担森林资源及生物多样性等生态文化知识的科普及宣传教育工作。</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（四）负责莲花山的日常巡查，开展保护范围和公园森林防火及安全生产工作。</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（五）负责森林资源管理、生态环境维护、休闲场所提供，做好保护范围和公园旅游资源保护及开发利用工作。</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（六）行使《柳州市莲花山保护条例》赋予的行政处罚权。</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（七）配合有关主管部门做好莲花山保护的相关工作。</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（八）编制公园总体规划并组织协调实施。</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（九）完成上级主管部门交办的其他任务。</w:t>
      </w:r>
    </w:p>
    <w:p>
      <w:pPr>
        <w:ind w:firstLine="646"/>
        <w:rPr>
          <w:rFonts w:ascii="仿宋_GB2312" w:eastAsia="仿宋_GB2312"/>
          <w:sz w:val="32"/>
          <w:szCs w:val="32"/>
        </w:rPr>
      </w:pPr>
      <w:r>
        <w:rPr>
          <w:rFonts w:hint="eastAsia" w:ascii="仿宋_GB2312" w:eastAsia="仿宋_GB2312"/>
          <w:sz w:val="32"/>
          <w:szCs w:val="32"/>
        </w:rPr>
        <w:t>二、部门决算单位构成</w:t>
      </w:r>
    </w:p>
    <w:p>
      <w:pPr>
        <w:keepNext w:val="0"/>
        <w:keepLines w:val="0"/>
        <w:pageBreakBefore w:val="0"/>
        <w:kinsoku/>
        <w:wordWrap/>
        <w:overflowPunct/>
        <w:topLinePunct w:val="0"/>
        <w:autoSpaceDE/>
        <w:autoSpaceDN/>
        <w:bidi w:val="0"/>
        <w:spacing w:beforeAutospacing="0" w:afterAutospacing="0" w:line="560" w:lineRule="exact"/>
        <w:ind w:firstLine="960" w:firstLineChars="300"/>
        <w:jc w:val="both"/>
        <w:textAlignment w:val="auto"/>
        <w:outlineLvl w:val="9"/>
        <w:rPr>
          <w:rFonts w:hint="eastAsia" w:ascii="仿宋_GB2312" w:hAnsi="华文仿宋" w:eastAsia="仿宋_GB2312"/>
          <w:color w:val="000000"/>
          <w:sz w:val="32"/>
          <w:szCs w:val="32"/>
          <w:lang w:eastAsia="zh-CN"/>
        </w:rPr>
      </w:pPr>
      <w:r>
        <w:rPr>
          <w:rFonts w:hint="eastAsia" w:ascii="仿宋_GB2312" w:hAnsi="华文仿宋" w:eastAsia="仿宋_GB2312"/>
          <w:color w:val="000000"/>
          <w:sz w:val="32"/>
          <w:szCs w:val="32"/>
          <w:lang w:val="en-US" w:eastAsia="zh-CN"/>
        </w:rPr>
        <w:t>柳州市莲花山保护中心</w:t>
      </w:r>
      <w:r>
        <w:rPr>
          <w:rFonts w:hint="eastAsia" w:ascii="仿宋_GB2312" w:hAnsi="华文仿宋" w:eastAsia="仿宋_GB2312"/>
          <w:color w:val="000000"/>
          <w:sz w:val="32"/>
          <w:szCs w:val="32"/>
          <w:lang w:eastAsia="zh-CN"/>
        </w:rPr>
        <w:t>共有直属单位</w:t>
      </w:r>
      <w:r>
        <w:rPr>
          <w:rFonts w:hint="eastAsia" w:ascii="仿宋_GB2312" w:hAnsi="华文仿宋" w:eastAsia="仿宋_GB2312"/>
          <w:color w:val="000000"/>
          <w:sz w:val="32"/>
          <w:szCs w:val="32"/>
          <w:lang w:val="en-US" w:eastAsia="zh-CN"/>
        </w:rPr>
        <w:t>1</w:t>
      </w:r>
      <w:r>
        <w:rPr>
          <w:rFonts w:hint="eastAsia" w:ascii="仿宋_GB2312" w:hAnsi="华文仿宋" w:eastAsia="仿宋_GB2312"/>
          <w:color w:val="000000"/>
          <w:sz w:val="32"/>
          <w:szCs w:val="32"/>
          <w:lang w:eastAsia="zh-CN"/>
        </w:rPr>
        <w:t>个。其中：</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olor w:val="000000"/>
          <w:sz w:val="32"/>
          <w:szCs w:val="32"/>
          <w:lang w:eastAsia="zh-CN"/>
        </w:rPr>
      </w:pPr>
      <w:r>
        <w:rPr>
          <w:rFonts w:hint="eastAsia" w:ascii="仿宋_GB2312" w:hAnsi="仿宋" w:eastAsia="仿宋_GB2312"/>
          <w:color w:val="auto"/>
          <w:sz w:val="32"/>
          <w:szCs w:val="32"/>
          <w:lang w:val="en-US" w:eastAsia="zh-CN"/>
        </w:rPr>
        <w:t>（一）全额拨款事业单位</w:t>
      </w:r>
      <w:r>
        <w:rPr>
          <w:rFonts w:hint="eastAsia" w:ascii="仿宋_GB2312" w:hAnsi="华文仿宋" w:eastAsia="仿宋_GB2312"/>
          <w:color w:val="000000"/>
          <w:sz w:val="32"/>
          <w:szCs w:val="32"/>
          <w:lang w:val="en-US" w:eastAsia="zh-CN"/>
        </w:rPr>
        <w:t>1</w:t>
      </w:r>
      <w:r>
        <w:rPr>
          <w:rFonts w:hint="eastAsia" w:ascii="仿宋_GB2312" w:hAnsi="华文仿宋" w:eastAsia="仿宋_GB2312"/>
          <w:color w:val="000000"/>
          <w:sz w:val="32"/>
          <w:szCs w:val="32"/>
          <w:lang w:eastAsia="zh-CN"/>
        </w:rPr>
        <w:t>个，是柳州市莲花山保护中心（柳州市三门江国家森林公园管理处）。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right="-218" w:rightChars="-104" w:firstLine="640" w:firstLineChars="200"/>
        <w:jc w:val="both"/>
        <w:textAlignment w:val="auto"/>
        <w:outlineLvl w:val="9"/>
      </w:pPr>
      <w:r>
        <w:rPr>
          <w:rFonts w:hint="eastAsia" w:ascii="仿宋_GB2312" w:hAnsi="仿宋_GB2312" w:eastAsia="仿宋_GB2312" w:cs="仿宋_GB2312"/>
          <w:color w:val="auto"/>
          <w:sz w:val="32"/>
          <w:szCs w:val="32"/>
          <w:lang w:val="en-US" w:eastAsia="zh-CN"/>
        </w:rPr>
        <w:t>根据《中共柳州市委办公室 柳州市人民政府办公室关于印发&lt;柳州市莲花山保护中心（柳州市三门江国家森林公园管理处）职能配置、内设机构和人员编制规定&gt;的通知》(柳办〔2019〕78号），</w:t>
      </w:r>
      <w:r>
        <w:rPr>
          <w:rFonts w:hint="eastAsia" w:ascii="仿宋_GB2312" w:hAnsi="仿宋_GB2312" w:eastAsia="仿宋_GB2312" w:cs="仿宋_GB2312"/>
          <w:color w:val="auto"/>
          <w:sz w:val="32"/>
          <w:szCs w:val="32"/>
          <w:lang w:eastAsia="zh-CN"/>
        </w:rPr>
        <w:t>内设</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个科室，分别为：</w:t>
      </w:r>
      <w:r>
        <w:rPr>
          <w:rFonts w:hint="eastAsia" w:ascii="仿宋_GB2312" w:hAnsi="仿宋_GB2312" w:eastAsia="仿宋_GB2312" w:cs="仿宋_GB2312"/>
          <w:color w:val="auto"/>
          <w:sz w:val="32"/>
          <w:szCs w:val="32"/>
        </w:rPr>
        <w:t>办公室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计划财务科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生态保护修复科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法规事务科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安全防火管理科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旅游规划科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科普宣教科</w:t>
      </w:r>
      <w:r>
        <w:rPr>
          <w:rFonts w:hint="eastAsia" w:ascii="仿宋_GB2312" w:hAnsi="仿宋_GB2312" w:eastAsia="仿宋_GB2312" w:cs="仿宋_GB2312"/>
          <w:color w:val="auto"/>
          <w:sz w:val="32"/>
          <w:szCs w:val="32"/>
          <w:lang w:eastAsia="zh-CN"/>
        </w:rPr>
        <w:t>。</w:t>
      </w:r>
    </w:p>
    <w:p>
      <w:pPr>
        <w:jc w:val="center"/>
      </w:pPr>
    </w:p>
    <w:p>
      <w:pPr>
        <w:jc w:val="both"/>
      </w:pPr>
    </w:p>
    <w:p>
      <w:pPr>
        <w:jc w:val="both"/>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single"/>
        </w:rPr>
        <w:t xml:space="preserve"> </w:t>
      </w:r>
      <w:r>
        <w:rPr>
          <w:rFonts w:hint="eastAsia" w:ascii="仿宋_GB2312" w:hAnsi="黑体" w:eastAsia="仿宋_GB2312"/>
          <w:b/>
          <w:bCs/>
          <w:color w:val="000000"/>
          <w:sz w:val="32"/>
          <w:szCs w:val="32"/>
          <w:u w:val="single"/>
          <w:lang w:eastAsia="zh-CN"/>
        </w:rPr>
        <w:t>柳州市莲花山保护中心</w:t>
      </w:r>
      <w:r>
        <w:rPr>
          <w:rFonts w:hint="eastAsia" w:ascii="仿宋_GB2312" w:eastAsia="仿宋_GB2312"/>
          <w:b/>
          <w:sz w:val="32"/>
          <w:szCs w:val="32"/>
        </w:rPr>
        <w:t xml:space="preserve"> 2020年部门决算报表</w:t>
      </w:r>
    </w:p>
    <w:p/>
    <w:tbl>
      <w:tblPr>
        <w:tblStyle w:val="5"/>
        <w:tblW w:w="8720" w:type="dxa"/>
        <w:jc w:val="center"/>
        <w:tblLayout w:type="fixed"/>
        <w:tblCellMar>
          <w:top w:w="0" w:type="dxa"/>
          <w:left w:w="108" w:type="dxa"/>
          <w:bottom w:w="0" w:type="dxa"/>
          <w:right w:w="108" w:type="dxa"/>
        </w:tblCellMar>
      </w:tblPr>
      <w:tblGrid>
        <w:gridCol w:w="2895"/>
        <w:gridCol w:w="1215"/>
        <w:gridCol w:w="2993"/>
        <w:gridCol w:w="1552"/>
        <w:gridCol w:w="65"/>
      </w:tblGrid>
      <w:tr>
        <w:tblPrEx>
          <w:tblCellMar>
            <w:top w:w="0" w:type="dxa"/>
            <w:left w:w="108" w:type="dxa"/>
            <w:bottom w:w="0" w:type="dxa"/>
            <w:right w:w="108" w:type="dxa"/>
          </w:tblCellMar>
        </w:tblPrEx>
        <w:trPr>
          <w:gridAfter w:val="1"/>
          <w:wAfter w:w="65" w:type="dxa"/>
          <w:trHeight w:val="570" w:hRule="atLeast"/>
          <w:jc w:val="center"/>
        </w:trPr>
        <w:tc>
          <w:tcPr>
            <w:tcW w:w="8655"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CellMar>
            <w:top w:w="0" w:type="dxa"/>
            <w:left w:w="108" w:type="dxa"/>
            <w:bottom w:w="0" w:type="dxa"/>
            <w:right w:w="108" w:type="dxa"/>
          </w:tblCellMar>
        </w:tblPrEx>
        <w:trPr>
          <w:trHeight w:val="270" w:hRule="atLeast"/>
          <w:jc w:val="center"/>
        </w:trPr>
        <w:tc>
          <w:tcPr>
            <w:tcW w:w="4110"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61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21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299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一、一般公共预算财政拨款收入</w:t>
            </w:r>
          </w:p>
        </w:tc>
        <w:tc>
          <w:tcPr>
            <w:tcW w:w="1215"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2546.35</w:t>
            </w:r>
          </w:p>
        </w:tc>
        <w:tc>
          <w:tcPr>
            <w:tcW w:w="29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617" w:type="dxa"/>
            <w:gridSpan w:val="2"/>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215"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0.00</w:t>
            </w:r>
          </w:p>
        </w:tc>
        <w:tc>
          <w:tcPr>
            <w:tcW w:w="29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1617" w:type="dxa"/>
            <w:gridSpan w:val="2"/>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三、上级补助收入</w:t>
            </w:r>
          </w:p>
        </w:tc>
        <w:tc>
          <w:tcPr>
            <w:tcW w:w="1215"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0.00</w:t>
            </w:r>
          </w:p>
        </w:tc>
        <w:tc>
          <w:tcPr>
            <w:tcW w:w="29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三、教育支出</w:t>
            </w:r>
          </w:p>
        </w:tc>
        <w:tc>
          <w:tcPr>
            <w:tcW w:w="1617" w:type="dxa"/>
            <w:gridSpan w:val="2"/>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四、事业收入</w:t>
            </w:r>
          </w:p>
        </w:tc>
        <w:tc>
          <w:tcPr>
            <w:tcW w:w="1215"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0.00</w:t>
            </w:r>
          </w:p>
        </w:tc>
        <w:tc>
          <w:tcPr>
            <w:tcW w:w="29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四、科学技术支出</w:t>
            </w:r>
          </w:p>
        </w:tc>
        <w:tc>
          <w:tcPr>
            <w:tcW w:w="1617" w:type="dxa"/>
            <w:gridSpan w:val="2"/>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五、经营收入</w:t>
            </w:r>
          </w:p>
        </w:tc>
        <w:tc>
          <w:tcPr>
            <w:tcW w:w="1215"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0.00</w:t>
            </w:r>
          </w:p>
        </w:tc>
        <w:tc>
          <w:tcPr>
            <w:tcW w:w="29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五、文化旅游体育与传媒支出</w:t>
            </w:r>
          </w:p>
        </w:tc>
        <w:tc>
          <w:tcPr>
            <w:tcW w:w="1617" w:type="dxa"/>
            <w:gridSpan w:val="2"/>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六、附属单位上缴收入</w:t>
            </w:r>
          </w:p>
        </w:tc>
        <w:tc>
          <w:tcPr>
            <w:tcW w:w="1215"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0.00</w:t>
            </w:r>
          </w:p>
        </w:tc>
        <w:tc>
          <w:tcPr>
            <w:tcW w:w="299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七、其他收入</w:t>
            </w:r>
          </w:p>
        </w:tc>
        <w:tc>
          <w:tcPr>
            <w:tcW w:w="1215"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108.38</w:t>
            </w:r>
          </w:p>
        </w:tc>
        <w:tc>
          <w:tcPr>
            <w:tcW w:w="299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1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99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64.38</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2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99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18.91</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2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99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2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99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2,480.06</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2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99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195.98</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2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99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2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99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2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99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2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99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十六、金融支出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2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99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21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9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617"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2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99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36.60</w:t>
            </w:r>
          </w:p>
        </w:tc>
      </w:tr>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21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9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617"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2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99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2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99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bookmarkStart w:id="0" w:name="_GoBack" w:colFirst="0" w:colLast="3"/>
          </w:p>
        </w:tc>
        <w:tc>
          <w:tcPr>
            <w:tcW w:w="121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9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1617"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2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99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2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99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2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99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bookmarkEnd w:id="0"/>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2,654.73</w:t>
            </w:r>
          </w:p>
        </w:tc>
        <w:tc>
          <w:tcPr>
            <w:tcW w:w="29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617"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2795.93</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使用非财政拨款结余</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299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结余分配</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年初结转和结余</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398.56</w:t>
            </w:r>
          </w:p>
        </w:tc>
        <w:tc>
          <w:tcPr>
            <w:tcW w:w="299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年末结转和结余</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257.36</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2"/>
                <w:szCs w:val="22"/>
              </w:rPr>
            </w:pPr>
          </w:p>
        </w:tc>
        <w:tc>
          <w:tcPr>
            <w:tcW w:w="1215"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szCs w:val="22"/>
              </w:rPr>
            </w:pPr>
          </w:p>
        </w:tc>
        <w:tc>
          <w:tcPr>
            <w:tcW w:w="2993" w:type="dxa"/>
            <w:tcBorders>
              <w:top w:val="nil"/>
              <w:left w:val="nil"/>
              <w:bottom w:val="single" w:color="auto" w:sz="4" w:space="0"/>
              <w:right w:val="single" w:color="auto" w:sz="4" w:space="0"/>
            </w:tcBorders>
            <w:vAlign w:val="center"/>
          </w:tcPr>
          <w:p>
            <w:pPr>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总计</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3,053.2</w:t>
            </w:r>
            <w:r>
              <w:rPr>
                <w:rFonts w:hint="eastAsia" w:ascii="宋体" w:hAnsi="宋体" w:cs="宋体"/>
                <w:b/>
                <w:bCs/>
                <w:i w:val="0"/>
                <w:iCs w:val="0"/>
                <w:color w:val="000000"/>
                <w:kern w:val="0"/>
                <w:sz w:val="22"/>
                <w:szCs w:val="22"/>
                <w:u w:val="none"/>
                <w:lang w:val="en-US" w:eastAsia="zh-CN" w:bidi="ar"/>
              </w:rPr>
              <w:t>8</w:t>
            </w:r>
          </w:p>
        </w:tc>
        <w:tc>
          <w:tcPr>
            <w:tcW w:w="299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cs="宋体"/>
                <w:b/>
                <w:bCs/>
                <w:i w:val="0"/>
                <w:iCs w:val="0"/>
                <w:color w:val="000000"/>
                <w:kern w:val="0"/>
                <w:sz w:val="22"/>
                <w:szCs w:val="22"/>
                <w:u w:val="none"/>
                <w:lang w:val="en-US" w:eastAsia="zh-CN" w:bidi="ar"/>
              </w:rPr>
              <w:t>支出</w:t>
            </w:r>
            <w:r>
              <w:rPr>
                <w:rFonts w:hint="eastAsia" w:ascii="宋体" w:hAnsi="宋体" w:eastAsia="宋体" w:cs="宋体"/>
                <w:b/>
                <w:bCs/>
                <w:i w:val="0"/>
                <w:iCs w:val="0"/>
                <w:color w:val="000000"/>
                <w:kern w:val="0"/>
                <w:sz w:val="22"/>
                <w:szCs w:val="22"/>
                <w:u w:val="none"/>
                <w:lang w:val="en-US" w:eastAsia="zh-CN" w:bidi="ar"/>
              </w:rPr>
              <w:t>总计</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3053.2</w:t>
            </w:r>
            <w:r>
              <w:rPr>
                <w:rFonts w:hint="eastAsia" w:ascii="宋体" w:hAnsi="宋体" w:cs="宋体"/>
                <w:b/>
                <w:bCs/>
                <w:i w:val="0"/>
                <w:iCs w:val="0"/>
                <w:color w:val="000000"/>
                <w:kern w:val="0"/>
                <w:sz w:val="22"/>
                <w:szCs w:val="22"/>
                <w:u w:val="none"/>
                <w:lang w:val="en-US" w:eastAsia="zh-CN" w:bidi="ar"/>
              </w:rPr>
              <w:t>8</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rPr>
        <w:t>注：本表反映部门本年度的总收支和年末结转结余情况。</w:t>
      </w:r>
    </w:p>
    <w:p>
      <w:pPr>
        <w:jc w:val="center"/>
      </w:pPr>
      <w:r>
        <w:rPr>
          <w:rFonts w:hint="eastAsia" w:ascii="方正小标宋简体" w:hAnsi="宋体" w:eastAsia="方正小标宋简体" w:cs="宋体"/>
          <w:kern w:val="0"/>
          <w:sz w:val="36"/>
          <w:szCs w:val="36"/>
        </w:rPr>
        <w:t>表二：收入决算表</w:t>
      </w:r>
    </w:p>
    <w:p>
      <w:pPr>
        <w:jc w:val="center"/>
        <w:rPr>
          <w:sz w:val="22"/>
          <w:szCs w:val="22"/>
        </w:rPr>
      </w:pPr>
      <w:r>
        <w:rPr>
          <w:rFonts w:hint="eastAsia"/>
          <w:sz w:val="22"/>
          <w:szCs w:val="22"/>
          <w:lang w:val="en-US" w:eastAsia="zh-CN"/>
        </w:rPr>
        <w:t xml:space="preserve">                                                                                                      </w:t>
      </w:r>
      <w:r>
        <w:rPr>
          <w:rFonts w:hint="eastAsia"/>
          <w:sz w:val="22"/>
          <w:szCs w:val="22"/>
        </w:rPr>
        <w:t xml:space="preserve">单位：万元                     </w:t>
      </w:r>
    </w:p>
    <w:tbl>
      <w:tblPr>
        <w:tblStyle w:val="5"/>
        <w:tblW w:w="4997" w:type="pct"/>
        <w:jc w:val="center"/>
        <w:tblLayout w:type="autofit"/>
        <w:tblCellMar>
          <w:top w:w="0" w:type="dxa"/>
          <w:left w:w="108" w:type="dxa"/>
          <w:bottom w:w="0" w:type="dxa"/>
          <w:right w:w="108" w:type="dxa"/>
        </w:tblCellMar>
      </w:tblPr>
      <w:tblGrid>
        <w:gridCol w:w="1261"/>
        <w:gridCol w:w="2619"/>
        <w:gridCol w:w="1267"/>
        <w:gridCol w:w="1726"/>
        <w:gridCol w:w="1772"/>
        <w:gridCol w:w="1236"/>
        <w:gridCol w:w="1270"/>
        <w:gridCol w:w="1349"/>
        <w:gridCol w:w="1665"/>
      </w:tblGrid>
      <w:tr>
        <w:tblPrEx>
          <w:tblCellMar>
            <w:top w:w="0" w:type="dxa"/>
            <w:left w:w="108" w:type="dxa"/>
            <w:bottom w:w="0" w:type="dxa"/>
            <w:right w:w="108" w:type="dxa"/>
          </w:tblCellMar>
        </w:tblPrEx>
        <w:trPr>
          <w:trHeight w:val="288" w:hRule="atLeast"/>
          <w:jc w:val="center"/>
        </w:trPr>
        <w:tc>
          <w:tcPr>
            <w:tcW w:w="1369" w:type="pct"/>
            <w:gridSpan w:val="2"/>
            <w:tcBorders>
              <w:top w:val="single" w:color="auto" w:sz="4" w:space="0"/>
              <w:left w:val="single" w:color="auto" w:sz="4" w:space="0"/>
              <w:bottom w:val="single" w:color="auto" w:sz="4" w:space="0"/>
              <w:right w:val="single" w:color="000000"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447"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609"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625"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436" w:type="pct"/>
            <w:vMerge w:val="restart"/>
            <w:tcBorders>
              <w:top w:val="single" w:color="auto" w:sz="4" w:space="0"/>
              <w:left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lang w:val="en-US" w:eastAsia="zh-CN"/>
              </w:rPr>
              <w:t xml:space="preserve">        </w:t>
            </w:r>
            <w:r>
              <w:rPr>
                <w:rFonts w:hint="eastAsia" w:ascii="宋体" w:hAnsi="宋体" w:cs="Arial"/>
                <w:kern w:val="0"/>
                <w:sz w:val="22"/>
                <w:szCs w:val="22"/>
              </w:rPr>
              <w:t>事业收入</w:t>
            </w:r>
          </w:p>
          <w:p>
            <w:pPr>
              <w:widowControl/>
              <w:jc w:val="left"/>
              <w:rPr>
                <w:rFonts w:ascii="宋体" w:hAnsi="宋体" w:cs="Arial"/>
                <w:color w:val="000000"/>
                <w:kern w:val="0"/>
                <w:sz w:val="22"/>
                <w:szCs w:val="22"/>
              </w:rPr>
            </w:pPr>
          </w:p>
        </w:tc>
        <w:tc>
          <w:tcPr>
            <w:tcW w:w="448"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476"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587"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CellMar>
            <w:top w:w="0" w:type="dxa"/>
            <w:left w:w="108" w:type="dxa"/>
            <w:bottom w:w="0" w:type="dxa"/>
            <w:right w:w="108" w:type="dxa"/>
          </w:tblCellMar>
        </w:tblPrEx>
        <w:trPr>
          <w:trHeight w:val="288" w:hRule="atLeast"/>
          <w:jc w:val="center"/>
        </w:trPr>
        <w:tc>
          <w:tcPr>
            <w:tcW w:w="445" w:type="pct"/>
            <w:tcBorders>
              <w:top w:val="nil"/>
              <w:left w:val="single" w:color="auto" w:sz="4" w:space="0"/>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支出功能分类科目编码</w:t>
            </w:r>
          </w:p>
        </w:tc>
        <w:tc>
          <w:tcPr>
            <w:tcW w:w="924" w:type="pct"/>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44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60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62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436" w:type="pct"/>
            <w:vMerge w:val="continue"/>
            <w:tcBorders>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44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47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58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369" w:type="pct"/>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447" w:type="pct"/>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609" w:type="pct"/>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625" w:type="pct"/>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436" w:type="pct"/>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448" w:type="pct"/>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476" w:type="pct"/>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587" w:type="pct"/>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CellMar>
            <w:top w:w="0" w:type="dxa"/>
            <w:left w:w="108" w:type="dxa"/>
            <w:bottom w:w="0" w:type="dxa"/>
            <w:right w:w="108" w:type="dxa"/>
          </w:tblCellMar>
        </w:tblPrEx>
        <w:trPr>
          <w:trHeight w:val="288" w:hRule="atLeast"/>
          <w:jc w:val="center"/>
        </w:trPr>
        <w:tc>
          <w:tcPr>
            <w:tcW w:w="1369" w:type="pct"/>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44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2654.73 </w:t>
            </w:r>
          </w:p>
        </w:tc>
        <w:tc>
          <w:tcPr>
            <w:tcW w:w="609"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2546.35 </w:t>
            </w:r>
          </w:p>
        </w:tc>
        <w:tc>
          <w:tcPr>
            <w:tcW w:w="625"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3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48"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7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58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108.38 </w:t>
            </w:r>
          </w:p>
        </w:tc>
      </w:tr>
      <w:tr>
        <w:tblPrEx>
          <w:tblCellMar>
            <w:top w:w="0" w:type="dxa"/>
            <w:left w:w="108" w:type="dxa"/>
            <w:bottom w:w="0" w:type="dxa"/>
            <w:right w:w="108" w:type="dxa"/>
          </w:tblCellMar>
        </w:tblPrEx>
        <w:trPr>
          <w:trHeight w:val="288" w:hRule="atLeast"/>
          <w:jc w:val="center"/>
        </w:trPr>
        <w:tc>
          <w:tcPr>
            <w:tcW w:w="445"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924" w:type="pct"/>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4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66.03 </w:t>
            </w:r>
          </w:p>
        </w:tc>
        <w:tc>
          <w:tcPr>
            <w:tcW w:w="609"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66.03 </w:t>
            </w:r>
          </w:p>
        </w:tc>
        <w:tc>
          <w:tcPr>
            <w:tcW w:w="625"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3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48"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7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58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445"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924" w:type="pct"/>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4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66.03 </w:t>
            </w:r>
          </w:p>
        </w:tc>
        <w:tc>
          <w:tcPr>
            <w:tcW w:w="609"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66.03 </w:t>
            </w:r>
          </w:p>
        </w:tc>
        <w:tc>
          <w:tcPr>
            <w:tcW w:w="625"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3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48"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7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58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445"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924" w:type="pct"/>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44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48.36 </w:t>
            </w:r>
          </w:p>
        </w:tc>
        <w:tc>
          <w:tcPr>
            <w:tcW w:w="609"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48.36 </w:t>
            </w:r>
          </w:p>
        </w:tc>
        <w:tc>
          <w:tcPr>
            <w:tcW w:w="625"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3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48"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7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58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445"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2080506</w:t>
            </w:r>
          </w:p>
        </w:tc>
        <w:tc>
          <w:tcPr>
            <w:tcW w:w="924" w:type="pct"/>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44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17.67 </w:t>
            </w:r>
          </w:p>
        </w:tc>
        <w:tc>
          <w:tcPr>
            <w:tcW w:w="609"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17.67 </w:t>
            </w:r>
          </w:p>
        </w:tc>
        <w:tc>
          <w:tcPr>
            <w:tcW w:w="625"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3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48"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7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58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445"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924" w:type="pct"/>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44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22.70 </w:t>
            </w:r>
          </w:p>
        </w:tc>
        <w:tc>
          <w:tcPr>
            <w:tcW w:w="609"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22.70 </w:t>
            </w:r>
          </w:p>
        </w:tc>
        <w:tc>
          <w:tcPr>
            <w:tcW w:w="625"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3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48"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7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58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445"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924" w:type="pct"/>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44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22.70 </w:t>
            </w:r>
          </w:p>
        </w:tc>
        <w:tc>
          <w:tcPr>
            <w:tcW w:w="609"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22.70 </w:t>
            </w:r>
          </w:p>
        </w:tc>
        <w:tc>
          <w:tcPr>
            <w:tcW w:w="625"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3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48"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7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58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445"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2101102</w:t>
            </w:r>
          </w:p>
        </w:tc>
        <w:tc>
          <w:tcPr>
            <w:tcW w:w="924" w:type="pct"/>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44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22.70 </w:t>
            </w:r>
          </w:p>
        </w:tc>
        <w:tc>
          <w:tcPr>
            <w:tcW w:w="609"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22.70 </w:t>
            </w:r>
          </w:p>
        </w:tc>
        <w:tc>
          <w:tcPr>
            <w:tcW w:w="625"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3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48"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7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58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445"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w:t>
            </w:r>
          </w:p>
        </w:tc>
        <w:tc>
          <w:tcPr>
            <w:tcW w:w="924" w:type="pct"/>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城乡社区支出</w:t>
            </w:r>
          </w:p>
        </w:tc>
        <w:tc>
          <w:tcPr>
            <w:tcW w:w="44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2394.05 </w:t>
            </w:r>
          </w:p>
        </w:tc>
        <w:tc>
          <w:tcPr>
            <w:tcW w:w="609"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2394.05 </w:t>
            </w:r>
          </w:p>
        </w:tc>
        <w:tc>
          <w:tcPr>
            <w:tcW w:w="625"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3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48"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7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58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445"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21202</w:t>
            </w:r>
          </w:p>
        </w:tc>
        <w:tc>
          <w:tcPr>
            <w:tcW w:w="924" w:type="pct"/>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44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30.00 </w:t>
            </w:r>
          </w:p>
        </w:tc>
        <w:tc>
          <w:tcPr>
            <w:tcW w:w="609"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30.00 </w:t>
            </w:r>
          </w:p>
        </w:tc>
        <w:tc>
          <w:tcPr>
            <w:tcW w:w="625"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3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48"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7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58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445"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2120201</w:t>
            </w:r>
          </w:p>
        </w:tc>
        <w:tc>
          <w:tcPr>
            <w:tcW w:w="924" w:type="pct"/>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城乡社区规划与管理</w:t>
            </w:r>
          </w:p>
        </w:tc>
        <w:tc>
          <w:tcPr>
            <w:tcW w:w="44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30.00 </w:t>
            </w:r>
          </w:p>
        </w:tc>
        <w:tc>
          <w:tcPr>
            <w:tcW w:w="609"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30.00 </w:t>
            </w:r>
          </w:p>
        </w:tc>
        <w:tc>
          <w:tcPr>
            <w:tcW w:w="625"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3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48"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7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58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445"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21205</w:t>
            </w:r>
          </w:p>
        </w:tc>
        <w:tc>
          <w:tcPr>
            <w:tcW w:w="924" w:type="pct"/>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城乡社区环境卫生</w:t>
            </w:r>
          </w:p>
        </w:tc>
        <w:tc>
          <w:tcPr>
            <w:tcW w:w="44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1355.54 </w:t>
            </w:r>
          </w:p>
        </w:tc>
        <w:tc>
          <w:tcPr>
            <w:tcW w:w="609"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1355.54 </w:t>
            </w:r>
          </w:p>
        </w:tc>
        <w:tc>
          <w:tcPr>
            <w:tcW w:w="625"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3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48"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7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58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445"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2120501</w:t>
            </w:r>
          </w:p>
        </w:tc>
        <w:tc>
          <w:tcPr>
            <w:tcW w:w="924" w:type="pct"/>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44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1355.54 </w:t>
            </w:r>
          </w:p>
        </w:tc>
        <w:tc>
          <w:tcPr>
            <w:tcW w:w="609"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1355.54 </w:t>
            </w:r>
          </w:p>
        </w:tc>
        <w:tc>
          <w:tcPr>
            <w:tcW w:w="625"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3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48"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7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58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445"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21299</w:t>
            </w:r>
          </w:p>
        </w:tc>
        <w:tc>
          <w:tcPr>
            <w:tcW w:w="924" w:type="pct"/>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其他城乡社区支出</w:t>
            </w:r>
          </w:p>
        </w:tc>
        <w:tc>
          <w:tcPr>
            <w:tcW w:w="44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1008.51 </w:t>
            </w:r>
          </w:p>
        </w:tc>
        <w:tc>
          <w:tcPr>
            <w:tcW w:w="609"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1008.51 </w:t>
            </w:r>
          </w:p>
        </w:tc>
        <w:tc>
          <w:tcPr>
            <w:tcW w:w="625"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3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48"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7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58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445"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2129901</w:t>
            </w:r>
          </w:p>
        </w:tc>
        <w:tc>
          <w:tcPr>
            <w:tcW w:w="924" w:type="pct"/>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其他城乡社区支出</w:t>
            </w:r>
          </w:p>
        </w:tc>
        <w:tc>
          <w:tcPr>
            <w:tcW w:w="44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1008.51 </w:t>
            </w:r>
          </w:p>
        </w:tc>
        <w:tc>
          <w:tcPr>
            <w:tcW w:w="609"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1008.51 </w:t>
            </w:r>
          </w:p>
        </w:tc>
        <w:tc>
          <w:tcPr>
            <w:tcW w:w="625"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3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48"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7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58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445"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213</w:t>
            </w:r>
          </w:p>
        </w:tc>
        <w:tc>
          <w:tcPr>
            <w:tcW w:w="924" w:type="pct"/>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农林水支出</w:t>
            </w:r>
          </w:p>
        </w:tc>
        <w:tc>
          <w:tcPr>
            <w:tcW w:w="44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135.35 </w:t>
            </w:r>
          </w:p>
        </w:tc>
        <w:tc>
          <w:tcPr>
            <w:tcW w:w="609"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26.97 </w:t>
            </w:r>
          </w:p>
        </w:tc>
        <w:tc>
          <w:tcPr>
            <w:tcW w:w="625"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3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48"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7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58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108.38 </w:t>
            </w:r>
          </w:p>
        </w:tc>
      </w:tr>
      <w:tr>
        <w:tblPrEx>
          <w:tblCellMar>
            <w:top w:w="0" w:type="dxa"/>
            <w:left w:w="108" w:type="dxa"/>
            <w:bottom w:w="0" w:type="dxa"/>
            <w:right w:w="108" w:type="dxa"/>
          </w:tblCellMar>
        </w:tblPrEx>
        <w:trPr>
          <w:trHeight w:val="288" w:hRule="atLeast"/>
          <w:jc w:val="center"/>
        </w:trPr>
        <w:tc>
          <w:tcPr>
            <w:tcW w:w="445"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21302</w:t>
            </w:r>
          </w:p>
        </w:tc>
        <w:tc>
          <w:tcPr>
            <w:tcW w:w="924" w:type="pct"/>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林业和草原</w:t>
            </w:r>
          </w:p>
        </w:tc>
        <w:tc>
          <w:tcPr>
            <w:tcW w:w="44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135.35 </w:t>
            </w:r>
          </w:p>
        </w:tc>
        <w:tc>
          <w:tcPr>
            <w:tcW w:w="609"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26.97 </w:t>
            </w:r>
          </w:p>
        </w:tc>
        <w:tc>
          <w:tcPr>
            <w:tcW w:w="625"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3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48"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7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58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108.38 </w:t>
            </w:r>
          </w:p>
        </w:tc>
      </w:tr>
      <w:tr>
        <w:tblPrEx>
          <w:tblCellMar>
            <w:top w:w="0" w:type="dxa"/>
            <w:left w:w="108" w:type="dxa"/>
            <w:bottom w:w="0" w:type="dxa"/>
            <w:right w:w="108" w:type="dxa"/>
          </w:tblCellMar>
        </w:tblPrEx>
        <w:trPr>
          <w:trHeight w:val="288"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2130207</w:t>
            </w:r>
          </w:p>
        </w:tc>
        <w:tc>
          <w:tcPr>
            <w:tcW w:w="924"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森林资源管理</w:t>
            </w:r>
          </w:p>
        </w:tc>
        <w:tc>
          <w:tcPr>
            <w:tcW w:w="447" w:type="pct"/>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0.27 </w:t>
            </w:r>
          </w:p>
        </w:tc>
        <w:tc>
          <w:tcPr>
            <w:tcW w:w="609" w:type="pct"/>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0.27 </w:t>
            </w:r>
          </w:p>
        </w:tc>
        <w:tc>
          <w:tcPr>
            <w:tcW w:w="625" w:type="pct"/>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36" w:type="pct"/>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48" w:type="pct"/>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76" w:type="pct"/>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587" w:type="pct"/>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445"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2130299</w:t>
            </w:r>
          </w:p>
        </w:tc>
        <w:tc>
          <w:tcPr>
            <w:tcW w:w="924" w:type="pct"/>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其他林业和草原支出</w:t>
            </w:r>
          </w:p>
        </w:tc>
        <w:tc>
          <w:tcPr>
            <w:tcW w:w="44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135.08 </w:t>
            </w:r>
          </w:p>
        </w:tc>
        <w:tc>
          <w:tcPr>
            <w:tcW w:w="609"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26.70 </w:t>
            </w:r>
          </w:p>
        </w:tc>
        <w:tc>
          <w:tcPr>
            <w:tcW w:w="625"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3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48"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7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58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108.38 </w:t>
            </w:r>
          </w:p>
        </w:tc>
      </w:tr>
      <w:tr>
        <w:tblPrEx>
          <w:tblCellMar>
            <w:top w:w="0" w:type="dxa"/>
            <w:left w:w="108" w:type="dxa"/>
            <w:bottom w:w="0" w:type="dxa"/>
            <w:right w:w="108" w:type="dxa"/>
          </w:tblCellMar>
        </w:tblPrEx>
        <w:trPr>
          <w:trHeight w:val="288" w:hRule="atLeast"/>
          <w:jc w:val="center"/>
        </w:trPr>
        <w:tc>
          <w:tcPr>
            <w:tcW w:w="445"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w:t>
            </w:r>
          </w:p>
        </w:tc>
        <w:tc>
          <w:tcPr>
            <w:tcW w:w="924" w:type="pct"/>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住房保障支出</w:t>
            </w:r>
          </w:p>
        </w:tc>
        <w:tc>
          <w:tcPr>
            <w:tcW w:w="44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36.60 </w:t>
            </w:r>
          </w:p>
        </w:tc>
        <w:tc>
          <w:tcPr>
            <w:tcW w:w="609"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36.60 </w:t>
            </w:r>
          </w:p>
        </w:tc>
        <w:tc>
          <w:tcPr>
            <w:tcW w:w="625"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3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48"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7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58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445"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22102</w:t>
            </w:r>
          </w:p>
        </w:tc>
        <w:tc>
          <w:tcPr>
            <w:tcW w:w="924" w:type="pct"/>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住房改革支出</w:t>
            </w:r>
          </w:p>
        </w:tc>
        <w:tc>
          <w:tcPr>
            <w:tcW w:w="44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36.60 </w:t>
            </w:r>
          </w:p>
        </w:tc>
        <w:tc>
          <w:tcPr>
            <w:tcW w:w="609"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36.60 </w:t>
            </w:r>
          </w:p>
        </w:tc>
        <w:tc>
          <w:tcPr>
            <w:tcW w:w="625"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3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48"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7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58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445"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2210201</w:t>
            </w:r>
          </w:p>
        </w:tc>
        <w:tc>
          <w:tcPr>
            <w:tcW w:w="924" w:type="pct"/>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44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36.60 </w:t>
            </w:r>
          </w:p>
        </w:tc>
        <w:tc>
          <w:tcPr>
            <w:tcW w:w="609"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36.60 </w:t>
            </w:r>
          </w:p>
        </w:tc>
        <w:tc>
          <w:tcPr>
            <w:tcW w:w="625"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3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48"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476"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587" w:type="pct"/>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bl>
    <w:p/>
    <w:p>
      <w:r>
        <w:rPr>
          <w:rFonts w:hint="eastAsia"/>
        </w:rPr>
        <w:t>注：本表反映部门本年度取得的各项收入情况。</w:t>
      </w:r>
    </w:p>
    <w:p/>
    <w:p/>
    <w:p/>
    <w:p/>
    <w:p/>
    <w:p/>
    <w:p/>
    <w:p/>
    <w:p/>
    <w:p/>
    <w:p/>
    <w:p/>
    <w:p/>
    <w:p/>
    <w:p/>
    <w:p/>
    <w:p/>
    <w:p/>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5"/>
        <w:tblW w:w="14049" w:type="dxa"/>
        <w:jc w:val="center"/>
        <w:tblLayout w:type="fixed"/>
        <w:tblCellMar>
          <w:top w:w="0" w:type="dxa"/>
          <w:left w:w="108" w:type="dxa"/>
          <w:bottom w:w="0" w:type="dxa"/>
          <w:right w:w="108" w:type="dxa"/>
        </w:tblCellMar>
      </w:tblPr>
      <w:tblGrid>
        <w:gridCol w:w="1180"/>
        <w:gridCol w:w="4060"/>
        <w:gridCol w:w="1260"/>
        <w:gridCol w:w="1410"/>
        <w:gridCol w:w="1365"/>
        <w:gridCol w:w="1620"/>
        <w:gridCol w:w="1485"/>
        <w:gridCol w:w="1669"/>
      </w:tblGrid>
      <w:tr>
        <w:tblPrEx>
          <w:tblCellMar>
            <w:top w:w="0" w:type="dxa"/>
            <w:left w:w="108" w:type="dxa"/>
            <w:bottom w:w="0" w:type="dxa"/>
            <w:right w:w="108" w:type="dxa"/>
          </w:tblCellMar>
        </w:tblPrEx>
        <w:trPr>
          <w:trHeight w:val="288" w:hRule="atLeast"/>
          <w:jc w:val="center"/>
        </w:trPr>
        <w:tc>
          <w:tcPr>
            <w:tcW w:w="524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4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36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4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66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支出功能分类科目编码</w:t>
            </w:r>
          </w:p>
        </w:tc>
        <w:tc>
          <w:tcPr>
            <w:tcW w:w="406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3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5240"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2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410"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365"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62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485"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166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tblPrEx>
          <w:tblCellMar>
            <w:top w:w="0" w:type="dxa"/>
            <w:left w:w="108" w:type="dxa"/>
            <w:bottom w:w="0" w:type="dxa"/>
            <w:right w:w="108" w:type="dxa"/>
          </w:tblCellMar>
        </w:tblPrEx>
        <w:trPr>
          <w:trHeight w:val="288" w:hRule="atLeast"/>
          <w:jc w:val="center"/>
        </w:trPr>
        <w:tc>
          <w:tcPr>
            <w:tcW w:w="5240"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126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2795.93 </w:t>
            </w:r>
          </w:p>
        </w:tc>
        <w:tc>
          <w:tcPr>
            <w:tcW w:w="141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461.28 </w:t>
            </w:r>
          </w:p>
        </w:tc>
        <w:tc>
          <w:tcPr>
            <w:tcW w:w="136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2334.65 </w:t>
            </w:r>
          </w:p>
        </w:tc>
        <w:tc>
          <w:tcPr>
            <w:tcW w:w="162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48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66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40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6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64.38 </w:t>
            </w:r>
          </w:p>
        </w:tc>
        <w:tc>
          <w:tcPr>
            <w:tcW w:w="141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64.38 </w:t>
            </w:r>
          </w:p>
        </w:tc>
        <w:tc>
          <w:tcPr>
            <w:tcW w:w="136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62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48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66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40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6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64.38 </w:t>
            </w:r>
          </w:p>
        </w:tc>
        <w:tc>
          <w:tcPr>
            <w:tcW w:w="141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64.38 </w:t>
            </w:r>
          </w:p>
        </w:tc>
        <w:tc>
          <w:tcPr>
            <w:tcW w:w="136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62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48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66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40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26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46.70 </w:t>
            </w:r>
          </w:p>
        </w:tc>
        <w:tc>
          <w:tcPr>
            <w:tcW w:w="141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46.70 </w:t>
            </w:r>
          </w:p>
        </w:tc>
        <w:tc>
          <w:tcPr>
            <w:tcW w:w="136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62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48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66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2080506</w:t>
            </w:r>
          </w:p>
        </w:tc>
        <w:tc>
          <w:tcPr>
            <w:tcW w:w="40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26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17.67 </w:t>
            </w:r>
          </w:p>
        </w:tc>
        <w:tc>
          <w:tcPr>
            <w:tcW w:w="141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17.67 </w:t>
            </w:r>
          </w:p>
        </w:tc>
        <w:tc>
          <w:tcPr>
            <w:tcW w:w="136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62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48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66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40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126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18.91 </w:t>
            </w:r>
          </w:p>
        </w:tc>
        <w:tc>
          <w:tcPr>
            <w:tcW w:w="141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18.91 </w:t>
            </w:r>
          </w:p>
        </w:tc>
        <w:tc>
          <w:tcPr>
            <w:tcW w:w="136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62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48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66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40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126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18.91 </w:t>
            </w:r>
          </w:p>
        </w:tc>
        <w:tc>
          <w:tcPr>
            <w:tcW w:w="141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18.91 </w:t>
            </w:r>
          </w:p>
        </w:tc>
        <w:tc>
          <w:tcPr>
            <w:tcW w:w="136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62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48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66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2101102</w:t>
            </w:r>
          </w:p>
        </w:tc>
        <w:tc>
          <w:tcPr>
            <w:tcW w:w="40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26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18.91 </w:t>
            </w:r>
          </w:p>
        </w:tc>
        <w:tc>
          <w:tcPr>
            <w:tcW w:w="141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18.91 </w:t>
            </w:r>
          </w:p>
        </w:tc>
        <w:tc>
          <w:tcPr>
            <w:tcW w:w="136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62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48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66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w:t>
            </w:r>
          </w:p>
        </w:tc>
        <w:tc>
          <w:tcPr>
            <w:tcW w:w="40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城乡社区支出</w:t>
            </w:r>
          </w:p>
        </w:tc>
        <w:tc>
          <w:tcPr>
            <w:tcW w:w="126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2480.06 </w:t>
            </w:r>
          </w:p>
        </w:tc>
        <w:tc>
          <w:tcPr>
            <w:tcW w:w="141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335.46 </w:t>
            </w:r>
          </w:p>
        </w:tc>
        <w:tc>
          <w:tcPr>
            <w:tcW w:w="136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2144.60 </w:t>
            </w:r>
          </w:p>
        </w:tc>
        <w:tc>
          <w:tcPr>
            <w:tcW w:w="162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48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66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21202</w:t>
            </w:r>
          </w:p>
        </w:tc>
        <w:tc>
          <w:tcPr>
            <w:tcW w:w="40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126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29.77 </w:t>
            </w:r>
          </w:p>
        </w:tc>
        <w:tc>
          <w:tcPr>
            <w:tcW w:w="141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36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29.77 </w:t>
            </w:r>
          </w:p>
        </w:tc>
        <w:tc>
          <w:tcPr>
            <w:tcW w:w="162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48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66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2120201</w:t>
            </w:r>
          </w:p>
        </w:tc>
        <w:tc>
          <w:tcPr>
            <w:tcW w:w="40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城乡社区规划与管理</w:t>
            </w:r>
          </w:p>
        </w:tc>
        <w:tc>
          <w:tcPr>
            <w:tcW w:w="126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29.77 </w:t>
            </w:r>
          </w:p>
        </w:tc>
        <w:tc>
          <w:tcPr>
            <w:tcW w:w="141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36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29.77 </w:t>
            </w:r>
          </w:p>
        </w:tc>
        <w:tc>
          <w:tcPr>
            <w:tcW w:w="162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48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66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21205</w:t>
            </w:r>
          </w:p>
        </w:tc>
        <w:tc>
          <w:tcPr>
            <w:tcW w:w="40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城乡社区环境卫生</w:t>
            </w:r>
          </w:p>
        </w:tc>
        <w:tc>
          <w:tcPr>
            <w:tcW w:w="126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1441.78 </w:t>
            </w:r>
          </w:p>
        </w:tc>
        <w:tc>
          <w:tcPr>
            <w:tcW w:w="141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335.46 </w:t>
            </w:r>
          </w:p>
        </w:tc>
        <w:tc>
          <w:tcPr>
            <w:tcW w:w="136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1106.32 </w:t>
            </w:r>
          </w:p>
        </w:tc>
        <w:tc>
          <w:tcPr>
            <w:tcW w:w="162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48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66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2120501</w:t>
            </w:r>
          </w:p>
        </w:tc>
        <w:tc>
          <w:tcPr>
            <w:tcW w:w="40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126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1441.78 </w:t>
            </w:r>
          </w:p>
        </w:tc>
        <w:tc>
          <w:tcPr>
            <w:tcW w:w="141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335.46 </w:t>
            </w:r>
          </w:p>
        </w:tc>
        <w:tc>
          <w:tcPr>
            <w:tcW w:w="136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1106.32 </w:t>
            </w:r>
          </w:p>
        </w:tc>
        <w:tc>
          <w:tcPr>
            <w:tcW w:w="162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48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66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21299</w:t>
            </w:r>
          </w:p>
        </w:tc>
        <w:tc>
          <w:tcPr>
            <w:tcW w:w="40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其他城乡社区支出</w:t>
            </w:r>
          </w:p>
        </w:tc>
        <w:tc>
          <w:tcPr>
            <w:tcW w:w="126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1008.51 </w:t>
            </w:r>
          </w:p>
        </w:tc>
        <w:tc>
          <w:tcPr>
            <w:tcW w:w="141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36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1008.51 </w:t>
            </w:r>
          </w:p>
        </w:tc>
        <w:tc>
          <w:tcPr>
            <w:tcW w:w="162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48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66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2129901</w:t>
            </w:r>
          </w:p>
        </w:tc>
        <w:tc>
          <w:tcPr>
            <w:tcW w:w="40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其他城乡社区支出</w:t>
            </w:r>
          </w:p>
        </w:tc>
        <w:tc>
          <w:tcPr>
            <w:tcW w:w="126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1008.51 </w:t>
            </w:r>
          </w:p>
        </w:tc>
        <w:tc>
          <w:tcPr>
            <w:tcW w:w="141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36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1008.51 </w:t>
            </w:r>
          </w:p>
        </w:tc>
        <w:tc>
          <w:tcPr>
            <w:tcW w:w="162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48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66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213</w:t>
            </w:r>
          </w:p>
        </w:tc>
        <w:tc>
          <w:tcPr>
            <w:tcW w:w="40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农林水支出</w:t>
            </w:r>
          </w:p>
        </w:tc>
        <w:tc>
          <w:tcPr>
            <w:tcW w:w="126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195.98 </w:t>
            </w:r>
          </w:p>
        </w:tc>
        <w:tc>
          <w:tcPr>
            <w:tcW w:w="141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5.93 </w:t>
            </w:r>
          </w:p>
        </w:tc>
        <w:tc>
          <w:tcPr>
            <w:tcW w:w="136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190.05 </w:t>
            </w:r>
          </w:p>
        </w:tc>
        <w:tc>
          <w:tcPr>
            <w:tcW w:w="162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48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66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21302</w:t>
            </w:r>
          </w:p>
        </w:tc>
        <w:tc>
          <w:tcPr>
            <w:tcW w:w="40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林业和草原</w:t>
            </w:r>
          </w:p>
        </w:tc>
        <w:tc>
          <w:tcPr>
            <w:tcW w:w="126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195.98 </w:t>
            </w:r>
          </w:p>
        </w:tc>
        <w:tc>
          <w:tcPr>
            <w:tcW w:w="141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5.93 </w:t>
            </w:r>
          </w:p>
        </w:tc>
        <w:tc>
          <w:tcPr>
            <w:tcW w:w="136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190.05 </w:t>
            </w:r>
          </w:p>
        </w:tc>
        <w:tc>
          <w:tcPr>
            <w:tcW w:w="162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48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66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2130207</w:t>
            </w:r>
          </w:p>
        </w:tc>
        <w:tc>
          <w:tcPr>
            <w:tcW w:w="40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森林资源管理</w:t>
            </w:r>
          </w:p>
        </w:tc>
        <w:tc>
          <w:tcPr>
            <w:tcW w:w="126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0.27 </w:t>
            </w:r>
          </w:p>
        </w:tc>
        <w:tc>
          <w:tcPr>
            <w:tcW w:w="141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36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0.27 </w:t>
            </w:r>
          </w:p>
        </w:tc>
        <w:tc>
          <w:tcPr>
            <w:tcW w:w="162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48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66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2130299</w:t>
            </w:r>
          </w:p>
        </w:tc>
        <w:tc>
          <w:tcPr>
            <w:tcW w:w="40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其他林业和草原支出</w:t>
            </w:r>
          </w:p>
        </w:tc>
        <w:tc>
          <w:tcPr>
            <w:tcW w:w="126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195.71 </w:t>
            </w:r>
          </w:p>
        </w:tc>
        <w:tc>
          <w:tcPr>
            <w:tcW w:w="141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5.93 </w:t>
            </w:r>
          </w:p>
        </w:tc>
        <w:tc>
          <w:tcPr>
            <w:tcW w:w="136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189.78 </w:t>
            </w:r>
          </w:p>
        </w:tc>
        <w:tc>
          <w:tcPr>
            <w:tcW w:w="162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48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66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w:t>
            </w:r>
          </w:p>
        </w:tc>
        <w:tc>
          <w:tcPr>
            <w:tcW w:w="40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住房保障支出</w:t>
            </w:r>
          </w:p>
        </w:tc>
        <w:tc>
          <w:tcPr>
            <w:tcW w:w="126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36.60 </w:t>
            </w:r>
          </w:p>
        </w:tc>
        <w:tc>
          <w:tcPr>
            <w:tcW w:w="141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36.60 </w:t>
            </w:r>
          </w:p>
        </w:tc>
        <w:tc>
          <w:tcPr>
            <w:tcW w:w="1365"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62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485"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669"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22102</w:t>
            </w:r>
          </w:p>
        </w:tc>
        <w:tc>
          <w:tcPr>
            <w:tcW w:w="40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住房改革支出</w:t>
            </w:r>
          </w:p>
        </w:tc>
        <w:tc>
          <w:tcPr>
            <w:tcW w:w="126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36.60 </w:t>
            </w:r>
          </w:p>
        </w:tc>
        <w:tc>
          <w:tcPr>
            <w:tcW w:w="141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36.60 </w:t>
            </w:r>
          </w:p>
        </w:tc>
        <w:tc>
          <w:tcPr>
            <w:tcW w:w="136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62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48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66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2210201</w:t>
            </w:r>
          </w:p>
        </w:tc>
        <w:tc>
          <w:tcPr>
            <w:tcW w:w="40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6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36.60 </w:t>
            </w:r>
          </w:p>
        </w:tc>
        <w:tc>
          <w:tcPr>
            <w:tcW w:w="141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36.60 </w:t>
            </w:r>
          </w:p>
        </w:tc>
        <w:tc>
          <w:tcPr>
            <w:tcW w:w="136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62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485"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66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bl>
    <w:p/>
    <w:p>
      <w:r>
        <w:rPr>
          <w:rFonts w:hint="eastAsia"/>
        </w:rPr>
        <w:t>注：本表反映部门本年度各项支出情况。</w:t>
      </w:r>
    </w:p>
    <w:p/>
    <w:p/>
    <w:p/>
    <w:p/>
    <w:p/>
    <w:p/>
    <w:p/>
    <w:p/>
    <w:p/>
    <w:p/>
    <w:p/>
    <w:p/>
    <w:p/>
    <w:p/>
    <w:p/>
    <w:p/>
    <w:p/>
    <w:p/>
    <w:p/>
    <w:p/>
    <w:p/>
    <w:p/>
    <w:p/>
    <w:p>
      <w:pPr>
        <w:ind w:firstLine="3600" w:firstLineChars="1000"/>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表四：财政拨款收入支出决算总表</w:t>
      </w:r>
    </w:p>
    <w:p>
      <w:pPr>
        <w:ind w:firstLine="2200" w:firstLineChars="1000"/>
        <w:jc w:val="right"/>
        <w:rPr>
          <w:rFonts w:hint="eastAsia" w:ascii="方正小标宋简体" w:hAnsi="宋体" w:eastAsia="方正小标宋简体" w:cs="宋体"/>
          <w:kern w:val="0"/>
          <w:sz w:val="36"/>
          <w:szCs w:val="36"/>
        </w:rPr>
      </w:pPr>
      <w:r>
        <w:rPr>
          <w:rFonts w:hint="eastAsia"/>
          <w:sz w:val="22"/>
          <w:szCs w:val="22"/>
        </w:rPr>
        <w:t>单位：万元</w:t>
      </w:r>
    </w:p>
    <w:tbl>
      <w:tblPr>
        <w:tblStyle w:val="5"/>
        <w:tblpPr w:leftFromText="180" w:rightFromText="180" w:vertAnchor="text" w:horzAnchor="page" w:tblpX="1768" w:tblpY="24"/>
        <w:tblOverlap w:val="never"/>
        <w:tblW w:w="13765" w:type="dxa"/>
        <w:tblInd w:w="0" w:type="dxa"/>
        <w:tblLayout w:type="fixed"/>
        <w:tblCellMar>
          <w:top w:w="0" w:type="dxa"/>
          <w:left w:w="108" w:type="dxa"/>
          <w:bottom w:w="0" w:type="dxa"/>
          <w:right w:w="108" w:type="dxa"/>
        </w:tblCellMar>
      </w:tblPr>
      <w:tblGrid>
        <w:gridCol w:w="3792"/>
        <w:gridCol w:w="550"/>
        <w:gridCol w:w="1638"/>
        <w:gridCol w:w="3372"/>
        <w:gridCol w:w="681"/>
        <w:gridCol w:w="1267"/>
        <w:gridCol w:w="1149"/>
        <w:gridCol w:w="1316"/>
      </w:tblGrid>
      <w:tr>
        <w:tblPrEx>
          <w:tblCellMar>
            <w:top w:w="0" w:type="dxa"/>
            <w:left w:w="108" w:type="dxa"/>
            <w:bottom w:w="0" w:type="dxa"/>
            <w:right w:w="108" w:type="dxa"/>
          </w:tblCellMar>
        </w:tblPrEx>
        <w:trPr>
          <w:trHeight w:val="300" w:hRule="atLeast"/>
        </w:trPr>
        <w:tc>
          <w:tcPr>
            <w:tcW w:w="5980"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785" w:type="dxa"/>
            <w:gridSpan w:val="5"/>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CellMar>
            <w:top w:w="0" w:type="dxa"/>
            <w:left w:w="108" w:type="dxa"/>
            <w:bottom w:w="0" w:type="dxa"/>
            <w:right w:w="108" w:type="dxa"/>
          </w:tblCellMar>
        </w:tblPrEx>
        <w:trPr>
          <w:trHeight w:val="732" w:hRule="atLeast"/>
        </w:trPr>
        <w:tc>
          <w:tcPr>
            <w:tcW w:w="3792"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550"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63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37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26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49"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CellMar>
            <w:top w:w="0" w:type="dxa"/>
            <w:left w:w="108" w:type="dxa"/>
            <w:bottom w:w="0" w:type="dxa"/>
            <w:right w:w="108" w:type="dxa"/>
          </w:tblCellMar>
        </w:tblPrEx>
        <w:trPr>
          <w:trHeight w:val="90" w:hRule="atLeast"/>
        </w:trPr>
        <w:tc>
          <w:tcPr>
            <w:tcW w:w="3792"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55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3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372"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68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4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trHeight w:val="288" w:hRule="atLeast"/>
        </w:trPr>
        <w:tc>
          <w:tcPr>
            <w:tcW w:w="379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5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w:t>
            </w:r>
          </w:p>
        </w:tc>
        <w:tc>
          <w:tcPr>
            <w:tcW w:w="1638"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2546.3</w:t>
            </w:r>
            <w:r>
              <w:rPr>
                <w:rFonts w:hint="eastAsia" w:ascii="Arial" w:hAnsi="Arial"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 xml:space="preserve"> </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33</w:t>
            </w:r>
          </w:p>
        </w:tc>
        <w:tc>
          <w:tcPr>
            <w:tcW w:w="126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14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316"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79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5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w:t>
            </w:r>
          </w:p>
        </w:tc>
        <w:tc>
          <w:tcPr>
            <w:tcW w:w="1638"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二、外交支出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34</w:t>
            </w:r>
          </w:p>
        </w:tc>
        <w:tc>
          <w:tcPr>
            <w:tcW w:w="126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14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316"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79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三、国有资本经营预算财政拨款</w:t>
            </w:r>
            <w:r>
              <w:rPr>
                <w:rFonts w:hint="eastAsia" w:ascii="宋体" w:hAnsi="宋体" w:cs="宋体"/>
                <w:i w:val="0"/>
                <w:iCs w:val="0"/>
                <w:color w:val="000000"/>
                <w:kern w:val="0"/>
                <w:sz w:val="22"/>
                <w:szCs w:val="22"/>
                <w:u w:val="none"/>
                <w:lang w:val="en-US" w:eastAsia="zh-CN" w:bidi="ar"/>
              </w:rPr>
              <w:t>收入</w:t>
            </w:r>
          </w:p>
        </w:tc>
        <w:tc>
          <w:tcPr>
            <w:tcW w:w="5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w:t>
            </w:r>
          </w:p>
        </w:tc>
        <w:tc>
          <w:tcPr>
            <w:tcW w:w="1638"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 </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三、国防支出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35</w:t>
            </w:r>
          </w:p>
        </w:tc>
        <w:tc>
          <w:tcPr>
            <w:tcW w:w="126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14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316"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792" w:type="dxa"/>
            <w:tcBorders>
              <w:top w:val="nil"/>
              <w:left w:val="single" w:color="auto" w:sz="4" w:space="0"/>
              <w:bottom w:val="single" w:color="auto" w:sz="4" w:space="0"/>
              <w:right w:val="single" w:color="auto" w:sz="4" w:space="0"/>
            </w:tcBorders>
            <w:vAlign w:val="center"/>
          </w:tcPr>
          <w:p>
            <w:pPr>
              <w:jc w:val="left"/>
              <w:rPr>
                <w:rFonts w:ascii="宋体" w:hAnsi="宋体" w:cs="Arial"/>
                <w:color w:val="000000"/>
                <w:kern w:val="0"/>
                <w:sz w:val="22"/>
                <w:szCs w:val="22"/>
              </w:rPr>
            </w:pPr>
          </w:p>
        </w:tc>
        <w:tc>
          <w:tcPr>
            <w:tcW w:w="5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w:t>
            </w:r>
          </w:p>
        </w:tc>
        <w:tc>
          <w:tcPr>
            <w:tcW w:w="1638" w:type="dxa"/>
            <w:tcBorders>
              <w:top w:val="nil"/>
              <w:left w:val="nil"/>
              <w:bottom w:val="single" w:color="auto" w:sz="4" w:space="0"/>
              <w:right w:val="single" w:color="auto" w:sz="4" w:space="0"/>
            </w:tcBorders>
            <w:vAlign w:val="bottom"/>
          </w:tcPr>
          <w:p>
            <w:pP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36</w:t>
            </w:r>
          </w:p>
        </w:tc>
        <w:tc>
          <w:tcPr>
            <w:tcW w:w="126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14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316"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792" w:type="dxa"/>
            <w:tcBorders>
              <w:top w:val="nil"/>
              <w:left w:val="single" w:color="auto" w:sz="4" w:space="0"/>
              <w:bottom w:val="single" w:color="auto" w:sz="4" w:space="0"/>
              <w:right w:val="single" w:color="auto" w:sz="4" w:space="0"/>
            </w:tcBorders>
            <w:vAlign w:val="center"/>
          </w:tcPr>
          <w:p>
            <w:pPr>
              <w:jc w:val="left"/>
              <w:rPr>
                <w:rFonts w:ascii="宋体" w:hAnsi="宋体" w:cs="Arial"/>
                <w:color w:val="000000"/>
                <w:kern w:val="0"/>
                <w:sz w:val="22"/>
                <w:szCs w:val="22"/>
              </w:rPr>
            </w:pPr>
          </w:p>
        </w:tc>
        <w:tc>
          <w:tcPr>
            <w:tcW w:w="5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w:t>
            </w:r>
          </w:p>
        </w:tc>
        <w:tc>
          <w:tcPr>
            <w:tcW w:w="1638" w:type="dxa"/>
            <w:tcBorders>
              <w:top w:val="nil"/>
              <w:left w:val="nil"/>
              <w:bottom w:val="single" w:color="auto" w:sz="4" w:space="0"/>
              <w:right w:val="single" w:color="auto" w:sz="4" w:space="0"/>
            </w:tcBorders>
            <w:vAlign w:val="bottom"/>
          </w:tcPr>
          <w:p>
            <w:pP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五、教育支出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37</w:t>
            </w:r>
          </w:p>
        </w:tc>
        <w:tc>
          <w:tcPr>
            <w:tcW w:w="126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14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316"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792" w:type="dxa"/>
            <w:tcBorders>
              <w:top w:val="nil"/>
              <w:left w:val="single" w:color="auto" w:sz="4" w:space="0"/>
              <w:bottom w:val="single" w:color="auto" w:sz="4" w:space="0"/>
              <w:right w:val="single" w:color="auto" w:sz="4" w:space="0"/>
            </w:tcBorders>
            <w:vAlign w:val="center"/>
          </w:tcPr>
          <w:p>
            <w:pPr>
              <w:jc w:val="left"/>
              <w:rPr>
                <w:rFonts w:ascii="宋体" w:hAnsi="宋体" w:cs="Arial"/>
                <w:color w:val="000000"/>
                <w:kern w:val="0"/>
                <w:sz w:val="22"/>
                <w:szCs w:val="22"/>
              </w:rPr>
            </w:pPr>
          </w:p>
        </w:tc>
        <w:tc>
          <w:tcPr>
            <w:tcW w:w="5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6</w:t>
            </w:r>
          </w:p>
        </w:tc>
        <w:tc>
          <w:tcPr>
            <w:tcW w:w="1638" w:type="dxa"/>
            <w:tcBorders>
              <w:top w:val="nil"/>
              <w:left w:val="nil"/>
              <w:bottom w:val="single" w:color="auto" w:sz="4" w:space="0"/>
              <w:right w:val="single" w:color="auto" w:sz="4" w:space="0"/>
            </w:tcBorders>
            <w:vAlign w:val="bottom"/>
          </w:tcPr>
          <w:p>
            <w:pP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38</w:t>
            </w:r>
          </w:p>
        </w:tc>
        <w:tc>
          <w:tcPr>
            <w:tcW w:w="126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14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316"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792" w:type="dxa"/>
            <w:tcBorders>
              <w:top w:val="nil"/>
              <w:left w:val="single" w:color="auto" w:sz="4" w:space="0"/>
              <w:bottom w:val="single" w:color="auto" w:sz="4" w:space="0"/>
              <w:right w:val="single" w:color="auto" w:sz="4" w:space="0"/>
            </w:tcBorders>
            <w:vAlign w:val="center"/>
          </w:tcPr>
          <w:p>
            <w:pPr>
              <w:jc w:val="left"/>
              <w:rPr>
                <w:rFonts w:hint="eastAsia" w:ascii="宋体" w:hAnsi="宋体" w:cs="Arial"/>
                <w:color w:val="000000"/>
                <w:kern w:val="0"/>
                <w:sz w:val="22"/>
                <w:szCs w:val="22"/>
              </w:rPr>
            </w:pPr>
          </w:p>
        </w:tc>
        <w:tc>
          <w:tcPr>
            <w:tcW w:w="5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7</w:t>
            </w:r>
          </w:p>
        </w:tc>
        <w:tc>
          <w:tcPr>
            <w:tcW w:w="1638" w:type="dxa"/>
            <w:tcBorders>
              <w:top w:val="nil"/>
              <w:left w:val="nil"/>
              <w:bottom w:val="single" w:color="auto" w:sz="4" w:space="0"/>
              <w:right w:val="single" w:color="auto" w:sz="4" w:space="0"/>
            </w:tcBorders>
            <w:vAlign w:val="bottom"/>
          </w:tcPr>
          <w:p>
            <w:pPr>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39</w:t>
            </w:r>
          </w:p>
        </w:tc>
        <w:tc>
          <w:tcPr>
            <w:tcW w:w="126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14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316"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792" w:type="dxa"/>
            <w:tcBorders>
              <w:top w:val="nil"/>
              <w:left w:val="single" w:color="auto" w:sz="4" w:space="0"/>
              <w:bottom w:val="single" w:color="auto" w:sz="4" w:space="0"/>
              <w:right w:val="single" w:color="auto" w:sz="4" w:space="0"/>
            </w:tcBorders>
            <w:vAlign w:val="center"/>
          </w:tcPr>
          <w:p>
            <w:pPr>
              <w:jc w:val="left"/>
              <w:rPr>
                <w:rFonts w:hint="eastAsia" w:ascii="宋体" w:hAnsi="宋体" w:cs="Arial"/>
                <w:color w:val="000000"/>
                <w:kern w:val="0"/>
                <w:sz w:val="22"/>
                <w:szCs w:val="22"/>
              </w:rPr>
            </w:pPr>
          </w:p>
        </w:tc>
        <w:tc>
          <w:tcPr>
            <w:tcW w:w="5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8</w:t>
            </w:r>
          </w:p>
        </w:tc>
        <w:tc>
          <w:tcPr>
            <w:tcW w:w="1638" w:type="dxa"/>
            <w:tcBorders>
              <w:top w:val="nil"/>
              <w:left w:val="nil"/>
              <w:bottom w:val="single" w:color="auto" w:sz="4" w:space="0"/>
              <w:right w:val="single" w:color="auto" w:sz="4" w:space="0"/>
            </w:tcBorders>
            <w:vAlign w:val="bottom"/>
          </w:tcPr>
          <w:p>
            <w:pPr>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40</w:t>
            </w:r>
          </w:p>
        </w:tc>
        <w:tc>
          <w:tcPr>
            <w:tcW w:w="126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64.38 </w:t>
            </w:r>
          </w:p>
        </w:tc>
        <w:tc>
          <w:tcPr>
            <w:tcW w:w="114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64.38 </w:t>
            </w:r>
          </w:p>
        </w:tc>
        <w:tc>
          <w:tcPr>
            <w:tcW w:w="1316"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792" w:type="dxa"/>
            <w:tcBorders>
              <w:top w:val="nil"/>
              <w:left w:val="single" w:color="auto" w:sz="4" w:space="0"/>
              <w:bottom w:val="single" w:color="auto" w:sz="4" w:space="0"/>
              <w:right w:val="single" w:color="auto" w:sz="4" w:space="0"/>
            </w:tcBorders>
            <w:vAlign w:val="center"/>
          </w:tcPr>
          <w:p>
            <w:pPr>
              <w:jc w:val="left"/>
              <w:rPr>
                <w:rFonts w:hint="eastAsia" w:ascii="宋体" w:hAnsi="宋体" w:cs="Arial"/>
                <w:color w:val="000000"/>
                <w:kern w:val="0"/>
                <w:sz w:val="22"/>
                <w:szCs w:val="22"/>
              </w:rPr>
            </w:pPr>
          </w:p>
        </w:tc>
        <w:tc>
          <w:tcPr>
            <w:tcW w:w="5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9</w:t>
            </w:r>
          </w:p>
        </w:tc>
        <w:tc>
          <w:tcPr>
            <w:tcW w:w="1638" w:type="dxa"/>
            <w:tcBorders>
              <w:top w:val="nil"/>
              <w:left w:val="nil"/>
              <w:bottom w:val="single" w:color="auto" w:sz="4" w:space="0"/>
              <w:right w:val="single" w:color="auto" w:sz="4" w:space="0"/>
            </w:tcBorders>
            <w:vAlign w:val="bottom"/>
          </w:tcPr>
          <w:p>
            <w:pPr>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41</w:t>
            </w:r>
          </w:p>
        </w:tc>
        <w:tc>
          <w:tcPr>
            <w:tcW w:w="126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18.91 </w:t>
            </w:r>
          </w:p>
        </w:tc>
        <w:tc>
          <w:tcPr>
            <w:tcW w:w="114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18.91 </w:t>
            </w:r>
          </w:p>
        </w:tc>
        <w:tc>
          <w:tcPr>
            <w:tcW w:w="1316"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792" w:type="dxa"/>
            <w:tcBorders>
              <w:top w:val="nil"/>
              <w:left w:val="single" w:color="auto" w:sz="4" w:space="0"/>
              <w:bottom w:val="single" w:color="auto" w:sz="4" w:space="0"/>
              <w:right w:val="single" w:color="auto" w:sz="4" w:space="0"/>
            </w:tcBorders>
            <w:vAlign w:val="center"/>
          </w:tcPr>
          <w:p>
            <w:pPr>
              <w:jc w:val="left"/>
              <w:rPr>
                <w:rFonts w:hint="eastAsia" w:ascii="宋体" w:hAnsi="宋体" w:cs="Arial"/>
                <w:color w:val="000000"/>
                <w:kern w:val="0"/>
                <w:sz w:val="22"/>
                <w:szCs w:val="22"/>
              </w:rPr>
            </w:pPr>
          </w:p>
        </w:tc>
        <w:tc>
          <w:tcPr>
            <w:tcW w:w="5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10</w:t>
            </w:r>
          </w:p>
        </w:tc>
        <w:tc>
          <w:tcPr>
            <w:tcW w:w="1638" w:type="dxa"/>
            <w:tcBorders>
              <w:top w:val="nil"/>
              <w:left w:val="nil"/>
              <w:bottom w:val="single" w:color="auto" w:sz="4" w:space="0"/>
              <w:right w:val="single" w:color="auto" w:sz="4" w:space="0"/>
            </w:tcBorders>
            <w:vAlign w:val="bottom"/>
          </w:tcPr>
          <w:p>
            <w:pPr>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42</w:t>
            </w:r>
          </w:p>
        </w:tc>
        <w:tc>
          <w:tcPr>
            <w:tcW w:w="126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14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316"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792" w:type="dxa"/>
            <w:tcBorders>
              <w:top w:val="nil"/>
              <w:left w:val="single" w:color="auto" w:sz="4" w:space="0"/>
              <w:bottom w:val="single" w:color="auto" w:sz="4" w:space="0"/>
              <w:right w:val="single" w:color="auto" w:sz="4" w:space="0"/>
            </w:tcBorders>
            <w:vAlign w:val="center"/>
          </w:tcPr>
          <w:p>
            <w:pPr>
              <w:jc w:val="left"/>
              <w:rPr>
                <w:rFonts w:hint="eastAsia" w:ascii="宋体" w:hAnsi="宋体" w:cs="Arial"/>
                <w:color w:val="000000"/>
                <w:kern w:val="0"/>
                <w:sz w:val="22"/>
                <w:szCs w:val="22"/>
              </w:rPr>
            </w:pPr>
          </w:p>
        </w:tc>
        <w:tc>
          <w:tcPr>
            <w:tcW w:w="5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11</w:t>
            </w:r>
          </w:p>
        </w:tc>
        <w:tc>
          <w:tcPr>
            <w:tcW w:w="1638" w:type="dxa"/>
            <w:tcBorders>
              <w:top w:val="nil"/>
              <w:left w:val="nil"/>
              <w:bottom w:val="single" w:color="auto" w:sz="4" w:space="0"/>
              <w:right w:val="single" w:color="auto" w:sz="4" w:space="0"/>
            </w:tcBorders>
            <w:vAlign w:val="bottom"/>
          </w:tcPr>
          <w:p>
            <w:pPr>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43</w:t>
            </w:r>
          </w:p>
        </w:tc>
        <w:tc>
          <w:tcPr>
            <w:tcW w:w="126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2480.06 </w:t>
            </w:r>
          </w:p>
        </w:tc>
        <w:tc>
          <w:tcPr>
            <w:tcW w:w="114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2480.06 </w:t>
            </w:r>
          </w:p>
        </w:tc>
        <w:tc>
          <w:tcPr>
            <w:tcW w:w="1316"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792" w:type="dxa"/>
            <w:tcBorders>
              <w:top w:val="nil"/>
              <w:left w:val="single" w:color="auto" w:sz="4" w:space="0"/>
              <w:bottom w:val="single" w:color="auto" w:sz="4" w:space="0"/>
              <w:right w:val="single" w:color="auto" w:sz="4" w:space="0"/>
            </w:tcBorders>
            <w:vAlign w:val="center"/>
          </w:tcPr>
          <w:p>
            <w:pPr>
              <w:jc w:val="left"/>
              <w:rPr>
                <w:rFonts w:hint="eastAsia" w:ascii="宋体" w:hAnsi="宋体" w:cs="Arial"/>
                <w:color w:val="000000"/>
                <w:kern w:val="0"/>
                <w:sz w:val="22"/>
                <w:szCs w:val="22"/>
              </w:rPr>
            </w:pPr>
          </w:p>
        </w:tc>
        <w:tc>
          <w:tcPr>
            <w:tcW w:w="5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12</w:t>
            </w:r>
          </w:p>
        </w:tc>
        <w:tc>
          <w:tcPr>
            <w:tcW w:w="1638" w:type="dxa"/>
            <w:tcBorders>
              <w:top w:val="nil"/>
              <w:left w:val="nil"/>
              <w:bottom w:val="single" w:color="auto" w:sz="4" w:space="0"/>
              <w:right w:val="single" w:color="auto" w:sz="4" w:space="0"/>
            </w:tcBorders>
            <w:vAlign w:val="bottom"/>
          </w:tcPr>
          <w:p>
            <w:pPr>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44</w:t>
            </w:r>
          </w:p>
        </w:tc>
        <w:tc>
          <w:tcPr>
            <w:tcW w:w="126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75.66 </w:t>
            </w:r>
          </w:p>
        </w:tc>
        <w:tc>
          <w:tcPr>
            <w:tcW w:w="114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75.66 </w:t>
            </w:r>
          </w:p>
        </w:tc>
        <w:tc>
          <w:tcPr>
            <w:tcW w:w="1316"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792" w:type="dxa"/>
            <w:tcBorders>
              <w:top w:val="nil"/>
              <w:left w:val="single" w:color="auto" w:sz="4" w:space="0"/>
              <w:bottom w:val="single" w:color="auto" w:sz="4" w:space="0"/>
              <w:right w:val="single" w:color="auto" w:sz="4" w:space="0"/>
            </w:tcBorders>
            <w:vAlign w:val="center"/>
          </w:tcPr>
          <w:p>
            <w:pPr>
              <w:jc w:val="left"/>
              <w:rPr>
                <w:rFonts w:hint="eastAsia" w:ascii="宋体" w:hAnsi="宋体" w:cs="Arial"/>
                <w:color w:val="000000"/>
                <w:kern w:val="0"/>
                <w:sz w:val="22"/>
                <w:szCs w:val="22"/>
              </w:rPr>
            </w:pPr>
          </w:p>
        </w:tc>
        <w:tc>
          <w:tcPr>
            <w:tcW w:w="5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13</w:t>
            </w:r>
          </w:p>
        </w:tc>
        <w:tc>
          <w:tcPr>
            <w:tcW w:w="1638" w:type="dxa"/>
            <w:tcBorders>
              <w:top w:val="nil"/>
              <w:left w:val="nil"/>
              <w:bottom w:val="single" w:color="auto" w:sz="4" w:space="0"/>
              <w:right w:val="single" w:color="auto" w:sz="4" w:space="0"/>
            </w:tcBorders>
            <w:vAlign w:val="bottom"/>
          </w:tcPr>
          <w:p>
            <w:pPr>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45</w:t>
            </w:r>
          </w:p>
        </w:tc>
        <w:tc>
          <w:tcPr>
            <w:tcW w:w="126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14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316"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792" w:type="dxa"/>
            <w:tcBorders>
              <w:top w:val="nil"/>
              <w:left w:val="single" w:color="auto" w:sz="4" w:space="0"/>
              <w:bottom w:val="single" w:color="auto" w:sz="4" w:space="0"/>
              <w:right w:val="single" w:color="auto" w:sz="4" w:space="0"/>
            </w:tcBorders>
            <w:vAlign w:val="center"/>
          </w:tcPr>
          <w:p>
            <w:pPr>
              <w:jc w:val="left"/>
              <w:rPr>
                <w:rFonts w:hint="eastAsia" w:ascii="宋体" w:hAnsi="宋体" w:cs="Arial"/>
                <w:color w:val="000000"/>
                <w:kern w:val="0"/>
                <w:sz w:val="22"/>
                <w:szCs w:val="22"/>
              </w:rPr>
            </w:pPr>
          </w:p>
        </w:tc>
        <w:tc>
          <w:tcPr>
            <w:tcW w:w="5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w:t>
            </w:r>
          </w:p>
        </w:tc>
        <w:tc>
          <w:tcPr>
            <w:tcW w:w="1638" w:type="dxa"/>
            <w:tcBorders>
              <w:top w:val="nil"/>
              <w:left w:val="nil"/>
              <w:bottom w:val="single" w:color="auto" w:sz="4" w:space="0"/>
              <w:right w:val="single" w:color="auto" w:sz="4" w:space="0"/>
            </w:tcBorders>
            <w:vAlign w:val="bottom"/>
          </w:tcPr>
          <w:p>
            <w:pPr>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46</w:t>
            </w:r>
          </w:p>
        </w:tc>
        <w:tc>
          <w:tcPr>
            <w:tcW w:w="126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14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316"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792" w:type="dxa"/>
            <w:tcBorders>
              <w:top w:val="nil"/>
              <w:left w:val="single" w:color="auto" w:sz="4" w:space="0"/>
              <w:bottom w:val="single" w:color="auto" w:sz="4" w:space="0"/>
              <w:right w:val="single" w:color="auto" w:sz="4" w:space="0"/>
            </w:tcBorders>
            <w:vAlign w:val="center"/>
          </w:tcPr>
          <w:p>
            <w:pPr>
              <w:jc w:val="left"/>
              <w:rPr>
                <w:rFonts w:hint="eastAsia" w:ascii="宋体" w:hAnsi="宋体" w:cs="Arial"/>
                <w:color w:val="000000"/>
                <w:kern w:val="0"/>
                <w:sz w:val="22"/>
                <w:szCs w:val="22"/>
              </w:rPr>
            </w:pPr>
          </w:p>
        </w:tc>
        <w:tc>
          <w:tcPr>
            <w:tcW w:w="5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15</w:t>
            </w:r>
          </w:p>
        </w:tc>
        <w:tc>
          <w:tcPr>
            <w:tcW w:w="1638" w:type="dxa"/>
            <w:tcBorders>
              <w:top w:val="nil"/>
              <w:left w:val="nil"/>
              <w:bottom w:val="single" w:color="auto" w:sz="4" w:space="0"/>
              <w:right w:val="single" w:color="auto" w:sz="4" w:space="0"/>
            </w:tcBorders>
            <w:vAlign w:val="bottom"/>
          </w:tcPr>
          <w:p>
            <w:pPr>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47</w:t>
            </w:r>
          </w:p>
        </w:tc>
        <w:tc>
          <w:tcPr>
            <w:tcW w:w="126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14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316"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792" w:type="dxa"/>
            <w:tcBorders>
              <w:top w:val="nil"/>
              <w:left w:val="single" w:color="auto" w:sz="4" w:space="0"/>
              <w:bottom w:val="single" w:color="auto" w:sz="4" w:space="0"/>
              <w:right w:val="single" w:color="auto" w:sz="4" w:space="0"/>
            </w:tcBorders>
            <w:vAlign w:val="center"/>
          </w:tcPr>
          <w:p>
            <w:pPr>
              <w:jc w:val="left"/>
              <w:rPr>
                <w:rFonts w:hint="eastAsia" w:ascii="宋体" w:hAnsi="宋体" w:cs="Arial"/>
                <w:color w:val="000000"/>
                <w:kern w:val="0"/>
                <w:sz w:val="22"/>
                <w:szCs w:val="22"/>
              </w:rPr>
            </w:pPr>
          </w:p>
        </w:tc>
        <w:tc>
          <w:tcPr>
            <w:tcW w:w="5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16</w:t>
            </w:r>
          </w:p>
        </w:tc>
        <w:tc>
          <w:tcPr>
            <w:tcW w:w="1638" w:type="dxa"/>
            <w:tcBorders>
              <w:top w:val="nil"/>
              <w:left w:val="nil"/>
              <w:bottom w:val="single" w:color="auto" w:sz="4" w:space="0"/>
              <w:right w:val="single" w:color="auto" w:sz="4" w:space="0"/>
            </w:tcBorders>
            <w:vAlign w:val="bottom"/>
          </w:tcPr>
          <w:p>
            <w:pPr>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十六、金融支出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48</w:t>
            </w:r>
          </w:p>
        </w:tc>
        <w:tc>
          <w:tcPr>
            <w:tcW w:w="126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14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316"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792" w:type="dxa"/>
            <w:tcBorders>
              <w:top w:val="nil"/>
              <w:left w:val="single" w:color="auto" w:sz="4" w:space="0"/>
              <w:bottom w:val="single" w:color="auto" w:sz="4" w:space="0"/>
              <w:right w:val="single" w:color="auto" w:sz="4" w:space="0"/>
            </w:tcBorders>
            <w:vAlign w:val="center"/>
          </w:tcPr>
          <w:p>
            <w:pPr>
              <w:jc w:val="left"/>
              <w:rPr>
                <w:rFonts w:hint="eastAsia" w:ascii="宋体" w:hAnsi="宋体" w:cs="Arial"/>
                <w:color w:val="000000"/>
                <w:kern w:val="0"/>
                <w:sz w:val="22"/>
                <w:szCs w:val="22"/>
              </w:rPr>
            </w:pPr>
          </w:p>
        </w:tc>
        <w:tc>
          <w:tcPr>
            <w:tcW w:w="5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17</w:t>
            </w:r>
          </w:p>
        </w:tc>
        <w:tc>
          <w:tcPr>
            <w:tcW w:w="1638" w:type="dxa"/>
            <w:tcBorders>
              <w:top w:val="nil"/>
              <w:left w:val="nil"/>
              <w:bottom w:val="single" w:color="auto" w:sz="4" w:space="0"/>
              <w:right w:val="single" w:color="auto" w:sz="4" w:space="0"/>
            </w:tcBorders>
            <w:vAlign w:val="bottom"/>
          </w:tcPr>
          <w:p>
            <w:pPr>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49</w:t>
            </w:r>
          </w:p>
        </w:tc>
        <w:tc>
          <w:tcPr>
            <w:tcW w:w="126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14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316"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792" w:type="dxa"/>
            <w:tcBorders>
              <w:top w:val="nil"/>
              <w:left w:val="single" w:color="auto" w:sz="4" w:space="0"/>
              <w:bottom w:val="single" w:color="auto" w:sz="4" w:space="0"/>
              <w:right w:val="single" w:color="auto" w:sz="4" w:space="0"/>
            </w:tcBorders>
            <w:vAlign w:val="center"/>
          </w:tcPr>
          <w:p>
            <w:pPr>
              <w:jc w:val="left"/>
              <w:rPr>
                <w:rFonts w:hint="eastAsia" w:ascii="宋体" w:hAnsi="宋体" w:cs="Arial"/>
                <w:color w:val="000000"/>
                <w:kern w:val="0"/>
                <w:sz w:val="22"/>
                <w:szCs w:val="22"/>
              </w:rPr>
            </w:pPr>
          </w:p>
        </w:tc>
        <w:tc>
          <w:tcPr>
            <w:tcW w:w="5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18</w:t>
            </w:r>
          </w:p>
        </w:tc>
        <w:tc>
          <w:tcPr>
            <w:tcW w:w="1638" w:type="dxa"/>
            <w:tcBorders>
              <w:top w:val="nil"/>
              <w:left w:val="nil"/>
              <w:bottom w:val="single" w:color="auto" w:sz="4" w:space="0"/>
              <w:right w:val="single" w:color="auto" w:sz="4" w:space="0"/>
            </w:tcBorders>
            <w:vAlign w:val="bottom"/>
          </w:tcPr>
          <w:p>
            <w:pPr>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w:t>
            </w:r>
          </w:p>
        </w:tc>
        <w:tc>
          <w:tcPr>
            <w:tcW w:w="126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14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316"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792"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Arial"/>
                <w:color w:val="000000"/>
                <w:kern w:val="0"/>
                <w:sz w:val="22"/>
                <w:szCs w:val="22"/>
              </w:rPr>
            </w:pPr>
          </w:p>
        </w:tc>
        <w:tc>
          <w:tcPr>
            <w:tcW w:w="5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19</w:t>
            </w:r>
          </w:p>
        </w:tc>
        <w:tc>
          <w:tcPr>
            <w:tcW w:w="1638" w:type="dxa"/>
            <w:tcBorders>
              <w:top w:val="single" w:color="auto" w:sz="4" w:space="0"/>
              <w:left w:val="nil"/>
              <w:bottom w:val="single" w:color="auto" w:sz="4" w:space="0"/>
              <w:right w:val="single" w:color="auto" w:sz="4" w:space="0"/>
            </w:tcBorders>
            <w:vAlign w:val="bottom"/>
          </w:tcPr>
          <w:p>
            <w:pPr>
              <w:rPr>
                <w:rFonts w:hint="eastAsia" w:ascii="宋体" w:hAnsi="宋体" w:cs="Arial"/>
                <w:color w:val="000000"/>
                <w:kern w:val="0"/>
                <w:sz w:val="22"/>
                <w:szCs w:val="22"/>
              </w:rPr>
            </w:pPr>
          </w:p>
        </w:tc>
        <w:tc>
          <w:tcPr>
            <w:tcW w:w="33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68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51</w:t>
            </w:r>
          </w:p>
        </w:tc>
        <w:tc>
          <w:tcPr>
            <w:tcW w:w="1267"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36.60 </w:t>
            </w:r>
          </w:p>
        </w:tc>
        <w:tc>
          <w:tcPr>
            <w:tcW w:w="1149"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36.60 </w:t>
            </w:r>
          </w:p>
        </w:tc>
        <w:tc>
          <w:tcPr>
            <w:tcW w:w="1316"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792" w:type="dxa"/>
            <w:tcBorders>
              <w:top w:val="nil"/>
              <w:left w:val="single" w:color="auto" w:sz="4" w:space="0"/>
              <w:bottom w:val="single" w:color="auto" w:sz="4" w:space="0"/>
              <w:right w:val="single" w:color="auto" w:sz="4" w:space="0"/>
            </w:tcBorders>
            <w:vAlign w:val="center"/>
          </w:tcPr>
          <w:p>
            <w:pPr>
              <w:jc w:val="left"/>
              <w:rPr>
                <w:rFonts w:hint="eastAsia" w:ascii="宋体" w:hAnsi="宋体" w:cs="Arial"/>
                <w:color w:val="000000"/>
                <w:kern w:val="0"/>
                <w:sz w:val="22"/>
                <w:szCs w:val="22"/>
              </w:rPr>
            </w:pPr>
          </w:p>
        </w:tc>
        <w:tc>
          <w:tcPr>
            <w:tcW w:w="5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w:t>
            </w:r>
          </w:p>
        </w:tc>
        <w:tc>
          <w:tcPr>
            <w:tcW w:w="1638" w:type="dxa"/>
            <w:tcBorders>
              <w:top w:val="nil"/>
              <w:left w:val="nil"/>
              <w:bottom w:val="single" w:color="auto" w:sz="4" w:space="0"/>
              <w:right w:val="single" w:color="auto" w:sz="4" w:space="0"/>
            </w:tcBorders>
            <w:vAlign w:val="bottom"/>
          </w:tcPr>
          <w:p>
            <w:pPr>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52</w:t>
            </w:r>
          </w:p>
        </w:tc>
        <w:tc>
          <w:tcPr>
            <w:tcW w:w="126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14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316"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792" w:type="dxa"/>
            <w:tcBorders>
              <w:top w:val="nil"/>
              <w:left w:val="single" w:color="auto" w:sz="4" w:space="0"/>
              <w:bottom w:val="single" w:color="auto" w:sz="4" w:space="0"/>
              <w:right w:val="single" w:color="auto" w:sz="4" w:space="0"/>
            </w:tcBorders>
            <w:vAlign w:val="center"/>
          </w:tcPr>
          <w:p>
            <w:pPr>
              <w:jc w:val="left"/>
              <w:rPr>
                <w:rFonts w:hint="eastAsia" w:ascii="宋体" w:hAnsi="宋体" w:cs="Arial"/>
                <w:color w:val="000000"/>
                <w:kern w:val="0"/>
                <w:sz w:val="22"/>
                <w:szCs w:val="22"/>
              </w:rPr>
            </w:pPr>
          </w:p>
        </w:tc>
        <w:tc>
          <w:tcPr>
            <w:tcW w:w="5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w:t>
            </w:r>
          </w:p>
        </w:tc>
        <w:tc>
          <w:tcPr>
            <w:tcW w:w="1638" w:type="dxa"/>
            <w:tcBorders>
              <w:top w:val="nil"/>
              <w:left w:val="nil"/>
              <w:bottom w:val="single" w:color="auto" w:sz="4" w:space="0"/>
              <w:right w:val="single" w:color="auto" w:sz="4" w:space="0"/>
            </w:tcBorders>
            <w:vAlign w:val="bottom"/>
          </w:tcPr>
          <w:p>
            <w:pPr>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53</w:t>
            </w:r>
          </w:p>
        </w:tc>
        <w:tc>
          <w:tcPr>
            <w:tcW w:w="126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14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316"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792" w:type="dxa"/>
            <w:tcBorders>
              <w:top w:val="nil"/>
              <w:left w:val="single" w:color="auto" w:sz="4" w:space="0"/>
              <w:bottom w:val="single" w:color="auto" w:sz="4" w:space="0"/>
              <w:right w:val="single" w:color="auto" w:sz="4" w:space="0"/>
            </w:tcBorders>
            <w:vAlign w:val="center"/>
          </w:tcPr>
          <w:p>
            <w:pPr>
              <w:jc w:val="left"/>
              <w:rPr>
                <w:rFonts w:ascii="宋体" w:hAnsi="宋体" w:cs="Arial"/>
                <w:color w:val="000000"/>
                <w:kern w:val="0"/>
                <w:sz w:val="22"/>
                <w:szCs w:val="22"/>
              </w:rPr>
            </w:pPr>
          </w:p>
        </w:tc>
        <w:tc>
          <w:tcPr>
            <w:tcW w:w="5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w:t>
            </w:r>
          </w:p>
        </w:tc>
        <w:tc>
          <w:tcPr>
            <w:tcW w:w="1638" w:type="dxa"/>
            <w:tcBorders>
              <w:top w:val="nil"/>
              <w:left w:val="nil"/>
              <w:bottom w:val="single" w:color="auto" w:sz="4" w:space="0"/>
              <w:right w:val="single" w:color="auto" w:sz="4" w:space="0"/>
            </w:tcBorders>
            <w:vAlign w:val="bottom"/>
          </w:tcPr>
          <w:p>
            <w:pP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54</w:t>
            </w:r>
          </w:p>
        </w:tc>
        <w:tc>
          <w:tcPr>
            <w:tcW w:w="126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14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316"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792" w:type="dxa"/>
            <w:tcBorders>
              <w:top w:val="nil"/>
              <w:left w:val="single" w:color="auto" w:sz="4" w:space="0"/>
              <w:bottom w:val="single" w:color="auto" w:sz="4" w:space="0"/>
              <w:right w:val="single" w:color="auto" w:sz="4" w:space="0"/>
            </w:tcBorders>
            <w:vAlign w:val="center"/>
          </w:tcPr>
          <w:p>
            <w:pPr>
              <w:jc w:val="left"/>
              <w:rPr>
                <w:rFonts w:ascii="宋体" w:hAnsi="宋体" w:cs="Arial"/>
                <w:color w:val="000000"/>
                <w:kern w:val="0"/>
                <w:sz w:val="22"/>
                <w:szCs w:val="22"/>
              </w:rPr>
            </w:pPr>
          </w:p>
        </w:tc>
        <w:tc>
          <w:tcPr>
            <w:tcW w:w="5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w:t>
            </w:r>
          </w:p>
        </w:tc>
        <w:tc>
          <w:tcPr>
            <w:tcW w:w="1638" w:type="dxa"/>
            <w:tcBorders>
              <w:top w:val="nil"/>
              <w:left w:val="nil"/>
              <w:bottom w:val="single" w:color="auto" w:sz="4" w:space="0"/>
              <w:right w:val="single" w:color="auto" w:sz="4" w:space="0"/>
            </w:tcBorders>
            <w:vAlign w:val="bottom"/>
          </w:tcPr>
          <w:p>
            <w:pP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55</w:t>
            </w:r>
          </w:p>
        </w:tc>
        <w:tc>
          <w:tcPr>
            <w:tcW w:w="126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14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316"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792" w:type="dxa"/>
            <w:tcBorders>
              <w:top w:val="nil"/>
              <w:left w:val="single" w:color="auto" w:sz="4" w:space="0"/>
              <w:bottom w:val="single" w:color="auto" w:sz="4" w:space="0"/>
              <w:right w:val="single" w:color="auto" w:sz="4" w:space="0"/>
            </w:tcBorders>
            <w:vAlign w:val="center"/>
          </w:tcPr>
          <w:p>
            <w:pPr>
              <w:jc w:val="left"/>
              <w:rPr>
                <w:rFonts w:ascii="宋体" w:hAnsi="宋体" w:cs="Arial"/>
                <w:color w:val="000000"/>
                <w:kern w:val="0"/>
                <w:sz w:val="22"/>
                <w:szCs w:val="22"/>
              </w:rPr>
            </w:pPr>
          </w:p>
        </w:tc>
        <w:tc>
          <w:tcPr>
            <w:tcW w:w="5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24</w:t>
            </w:r>
          </w:p>
        </w:tc>
        <w:tc>
          <w:tcPr>
            <w:tcW w:w="1638" w:type="dxa"/>
            <w:tcBorders>
              <w:top w:val="nil"/>
              <w:left w:val="nil"/>
              <w:bottom w:val="single" w:color="auto" w:sz="4" w:space="0"/>
              <w:right w:val="single" w:color="auto" w:sz="4" w:space="0"/>
            </w:tcBorders>
            <w:vAlign w:val="bottom"/>
          </w:tcPr>
          <w:p>
            <w:pP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56</w:t>
            </w:r>
          </w:p>
        </w:tc>
        <w:tc>
          <w:tcPr>
            <w:tcW w:w="126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14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316"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792" w:type="dxa"/>
            <w:tcBorders>
              <w:top w:val="nil"/>
              <w:left w:val="single" w:color="auto" w:sz="4" w:space="0"/>
              <w:bottom w:val="single" w:color="auto" w:sz="4" w:space="0"/>
              <w:right w:val="single" w:color="auto" w:sz="4" w:space="0"/>
            </w:tcBorders>
            <w:vAlign w:val="center"/>
          </w:tcPr>
          <w:p>
            <w:pPr>
              <w:jc w:val="center"/>
              <w:rPr>
                <w:rFonts w:ascii="宋体" w:hAnsi="宋体" w:cs="Arial"/>
                <w:color w:val="000000"/>
                <w:kern w:val="0"/>
                <w:sz w:val="22"/>
                <w:szCs w:val="22"/>
              </w:rPr>
            </w:pPr>
          </w:p>
        </w:tc>
        <w:tc>
          <w:tcPr>
            <w:tcW w:w="5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25</w:t>
            </w:r>
          </w:p>
        </w:tc>
        <w:tc>
          <w:tcPr>
            <w:tcW w:w="1638" w:type="dxa"/>
            <w:tcBorders>
              <w:top w:val="nil"/>
              <w:left w:val="nil"/>
              <w:bottom w:val="single" w:color="auto" w:sz="4" w:space="0"/>
              <w:right w:val="single" w:color="auto" w:sz="4" w:space="0"/>
            </w:tcBorders>
            <w:vAlign w:val="bottom"/>
          </w:tcPr>
          <w:p>
            <w:pP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57</w:t>
            </w:r>
          </w:p>
        </w:tc>
        <w:tc>
          <w:tcPr>
            <w:tcW w:w="1267"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14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316"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7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kern w:val="0"/>
                <w:sz w:val="22"/>
                <w:szCs w:val="22"/>
              </w:rPr>
            </w:pPr>
          </w:p>
        </w:tc>
        <w:tc>
          <w:tcPr>
            <w:tcW w:w="5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26</w:t>
            </w:r>
          </w:p>
        </w:tc>
        <w:tc>
          <w:tcPr>
            <w:tcW w:w="1638" w:type="dxa"/>
            <w:tcBorders>
              <w:top w:val="single" w:color="auto" w:sz="4" w:space="0"/>
              <w:left w:val="nil"/>
              <w:bottom w:val="single" w:color="auto" w:sz="4" w:space="0"/>
              <w:right w:val="single" w:color="auto" w:sz="4" w:space="0"/>
            </w:tcBorders>
            <w:vAlign w:val="bottom"/>
          </w:tcPr>
          <w:p>
            <w:pPr>
              <w:rPr>
                <w:rFonts w:ascii="宋体" w:hAnsi="宋体" w:cs="Arial"/>
                <w:color w:val="000000"/>
                <w:kern w:val="0"/>
                <w:sz w:val="22"/>
                <w:szCs w:val="22"/>
              </w:rPr>
            </w:pPr>
          </w:p>
        </w:tc>
        <w:tc>
          <w:tcPr>
            <w:tcW w:w="33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8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58</w:t>
            </w:r>
          </w:p>
        </w:tc>
        <w:tc>
          <w:tcPr>
            <w:tcW w:w="1267"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1149"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pPr>
            <w:r>
              <w:rPr>
                <w:rFonts w:hint="default" w:ascii="Arial" w:hAnsi="Arial" w:eastAsia="宋体" w:cs="Arial"/>
                <w:i w:val="0"/>
                <w:iCs w:val="0"/>
                <w:color w:val="000000"/>
                <w:kern w:val="0"/>
                <w:sz w:val="20"/>
                <w:szCs w:val="20"/>
                <w:u w:val="none"/>
                <w:lang w:val="en-US" w:eastAsia="zh-CN" w:bidi="ar"/>
              </w:rPr>
              <w:t xml:space="preserve">0.00 </w:t>
            </w:r>
          </w:p>
        </w:tc>
        <w:tc>
          <w:tcPr>
            <w:tcW w:w="1316"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79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27</w:t>
            </w:r>
          </w:p>
        </w:tc>
        <w:tc>
          <w:tcPr>
            <w:tcW w:w="1638"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2546.3</w:t>
            </w:r>
            <w:r>
              <w:rPr>
                <w:rFonts w:hint="eastAsia" w:ascii="Arial" w:hAnsi="Arial" w:cs="Arial"/>
                <w:i w:val="0"/>
                <w:iCs w:val="0"/>
                <w:color w:val="000000"/>
                <w:kern w:val="0"/>
                <w:sz w:val="20"/>
                <w:szCs w:val="20"/>
                <w:u w:val="none"/>
                <w:lang w:val="en-US" w:eastAsia="zh-CN" w:bidi="ar"/>
              </w:rPr>
              <w:t>5</w:t>
            </w:r>
            <w:r>
              <w:rPr>
                <w:rFonts w:hint="default" w:ascii="Arial" w:hAnsi="Arial" w:eastAsia="宋体" w:cs="Arial"/>
                <w:i w:val="0"/>
                <w:iCs w:val="0"/>
                <w:color w:val="000000"/>
                <w:kern w:val="0"/>
                <w:sz w:val="20"/>
                <w:szCs w:val="20"/>
                <w:u w:val="none"/>
                <w:lang w:val="en-US" w:eastAsia="zh-CN" w:bidi="ar"/>
              </w:rPr>
              <w:t xml:space="preserve"> </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Arial"/>
                <w:color w:val="000000"/>
                <w:kern w:val="0"/>
                <w:sz w:val="22"/>
                <w:szCs w:val="22"/>
                <w:lang w:val="en-US"/>
              </w:rPr>
            </w:pPr>
            <w:r>
              <w:rPr>
                <w:rFonts w:hint="eastAsia" w:ascii="宋体" w:hAnsi="宋体" w:cs="宋体"/>
                <w:i w:val="0"/>
                <w:iCs w:val="0"/>
                <w:color w:val="000000"/>
                <w:kern w:val="0"/>
                <w:sz w:val="22"/>
                <w:szCs w:val="22"/>
                <w:u w:val="none"/>
                <w:lang w:val="en-US" w:eastAsia="zh-CN" w:bidi="ar"/>
              </w:rPr>
              <w:t>59</w:t>
            </w:r>
          </w:p>
        </w:tc>
        <w:tc>
          <w:tcPr>
            <w:tcW w:w="1267"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2675.61 </w:t>
            </w:r>
          </w:p>
        </w:tc>
        <w:tc>
          <w:tcPr>
            <w:tcW w:w="1149"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pPr>
            <w:r>
              <w:rPr>
                <w:rFonts w:hint="default" w:ascii="Arial" w:hAnsi="Arial" w:eastAsia="宋体" w:cs="Arial"/>
                <w:i w:val="0"/>
                <w:iCs w:val="0"/>
                <w:color w:val="000000"/>
                <w:kern w:val="0"/>
                <w:sz w:val="20"/>
                <w:szCs w:val="20"/>
                <w:u w:val="none"/>
                <w:lang w:val="en-US" w:eastAsia="zh-CN" w:bidi="ar"/>
              </w:rPr>
              <w:t xml:space="preserve">2675.61 </w:t>
            </w:r>
          </w:p>
        </w:tc>
        <w:tc>
          <w:tcPr>
            <w:tcW w:w="1316"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79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28</w:t>
            </w:r>
          </w:p>
        </w:tc>
        <w:tc>
          <w:tcPr>
            <w:tcW w:w="1638"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276.66 </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Arial"/>
                <w:color w:val="000000"/>
                <w:kern w:val="0"/>
                <w:sz w:val="22"/>
                <w:szCs w:val="22"/>
                <w:lang w:val="en-US"/>
              </w:rPr>
            </w:pPr>
            <w:r>
              <w:rPr>
                <w:rFonts w:hint="eastAsia" w:ascii="宋体" w:hAnsi="宋体" w:cs="宋体"/>
                <w:i w:val="0"/>
                <w:iCs w:val="0"/>
                <w:color w:val="000000"/>
                <w:kern w:val="0"/>
                <w:sz w:val="22"/>
                <w:szCs w:val="22"/>
                <w:u w:val="none"/>
                <w:lang w:val="en-US" w:eastAsia="zh-CN" w:bidi="ar"/>
              </w:rPr>
              <w:t>60</w:t>
            </w:r>
          </w:p>
        </w:tc>
        <w:tc>
          <w:tcPr>
            <w:tcW w:w="1267"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147.41 </w:t>
            </w:r>
          </w:p>
        </w:tc>
        <w:tc>
          <w:tcPr>
            <w:tcW w:w="1149"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pPr>
            <w:r>
              <w:rPr>
                <w:rFonts w:hint="default" w:ascii="Arial" w:hAnsi="Arial" w:eastAsia="宋体" w:cs="Arial"/>
                <w:i w:val="0"/>
                <w:iCs w:val="0"/>
                <w:color w:val="000000"/>
                <w:kern w:val="0"/>
                <w:sz w:val="20"/>
                <w:szCs w:val="20"/>
                <w:u w:val="none"/>
                <w:lang w:val="en-US" w:eastAsia="zh-CN" w:bidi="ar"/>
              </w:rPr>
              <w:t xml:space="preserve">147.41 </w:t>
            </w:r>
          </w:p>
        </w:tc>
        <w:tc>
          <w:tcPr>
            <w:tcW w:w="1316"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pPr>
            <w:r>
              <w:rPr>
                <w:rFonts w:hint="default" w:ascii="Arial" w:hAnsi="Arial" w:eastAsia="宋体" w:cs="Arial"/>
                <w:i w:val="0"/>
                <w:iCs w:val="0"/>
                <w:color w:val="000000"/>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79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5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29</w:t>
            </w:r>
          </w:p>
        </w:tc>
        <w:tc>
          <w:tcPr>
            <w:tcW w:w="1638"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276.66 </w:t>
            </w:r>
          </w:p>
        </w:tc>
        <w:tc>
          <w:tcPr>
            <w:tcW w:w="3372"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Arial"/>
                <w:color w:val="000000"/>
                <w:kern w:val="0"/>
                <w:sz w:val="22"/>
                <w:szCs w:val="22"/>
                <w:lang w:val="en-US"/>
              </w:rPr>
            </w:pPr>
            <w:r>
              <w:rPr>
                <w:rFonts w:hint="eastAsia" w:ascii="宋体" w:hAnsi="宋体" w:cs="宋体"/>
                <w:i w:val="0"/>
                <w:iCs w:val="0"/>
                <w:color w:val="000000"/>
                <w:kern w:val="0"/>
                <w:sz w:val="22"/>
                <w:szCs w:val="22"/>
                <w:u w:val="none"/>
                <w:lang w:val="en-US" w:eastAsia="zh-CN" w:bidi="ar"/>
              </w:rPr>
              <w:t>61</w:t>
            </w:r>
          </w:p>
        </w:tc>
        <w:tc>
          <w:tcPr>
            <w:tcW w:w="1267" w:type="dxa"/>
            <w:tcBorders>
              <w:top w:val="single" w:color="auto" w:sz="4" w:space="0"/>
              <w:left w:val="nil"/>
              <w:bottom w:val="single" w:color="auto" w:sz="4" w:space="0"/>
              <w:right w:val="single" w:color="auto" w:sz="4" w:space="0"/>
            </w:tcBorders>
            <w:vAlign w:val="bottom"/>
          </w:tcPr>
          <w:p>
            <w:pPr>
              <w:rPr>
                <w:rFonts w:ascii="宋体" w:hAnsi="宋体" w:cs="Arial"/>
                <w:color w:val="000000"/>
                <w:kern w:val="0"/>
                <w:sz w:val="22"/>
                <w:szCs w:val="22"/>
              </w:rPr>
            </w:pPr>
          </w:p>
        </w:tc>
        <w:tc>
          <w:tcPr>
            <w:tcW w:w="1149" w:type="dxa"/>
            <w:tcBorders>
              <w:top w:val="single" w:color="auto" w:sz="4" w:space="0"/>
              <w:left w:val="nil"/>
              <w:bottom w:val="single" w:color="auto" w:sz="4" w:space="0"/>
              <w:right w:val="single" w:color="auto" w:sz="4" w:space="0"/>
            </w:tcBorders>
            <w:vAlign w:val="bottom"/>
          </w:tcPr>
          <w:p/>
        </w:tc>
        <w:tc>
          <w:tcPr>
            <w:tcW w:w="1316" w:type="dxa"/>
            <w:tcBorders>
              <w:top w:val="single" w:color="auto" w:sz="4" w:space="0"/>
              <w:left w:val="nil"/>
              <w:bottom w:val="single" w:color="auto" w:sz="4" w:space="0"/>
              <w:right w:val="single" w:color="auto" w:sz="4" w:space="0"/>
            </w:tcBorders>
            <w:vAlign w:val="bottom"/>
          </w:tcPr>
          <w:p/>
        </w:tc>
      </w:tr>
      <w:tr>
        <w:tblPrEx>
          <w:tblCellMar>
            <w:top w:w="0" w:type="dxa"/>
            <w:left w:w="108" w:type="dxa"/>
            <w:bottom w:w="0" w:type="dxa"/>
            <w:right w:w="108" w:type="dxa"/>
          </w:tblCellMar>
        </w:tblPrEx>
        <w:trPr>
          <w:trHeight w:val="288" w:hRule="atLeast"/>
        </w:trPr>
        <w:tc>
          <w:tcPr>
            <w:tcW w:w="379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5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w:t>
            </w:r>
          </w:p>
        </w:tc>
        <w:tc>
          <w:tcPr>
            <w:tcW w:w="1638"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3372"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Arial"/>
                <w:color w:val="000000"/>
                <w:kern w:val="0"/>
                <w:sz w:val="22"/>
                <w:szCs w:val="22"/>
                <w:lang w:val="en-US"/>
              </w:rPr>
            </w:pPr>
            <w:r>
              <w:rPr>
                <w:rFonts w:hint="eastAsia" w:ascii="宋体" w:hAnsi="宋体" w:cs="宋体"/>
                <w:i w:val="0"/>
                <w:iCs w:val="0"/>
                <w:color w:val="000000"/>
                <w:kern w:val="0"/>
                <w:sz w:val="22"/>
                <w:szCs w:val="22"/>
                <w:u w:val="none"/>
                <w:lang w:val="en-US" w:eastAsia="zh-CN" w:bidi="ar"/>
              </w:rPr>
              <w:t>62</w:t>
            </w:r>
          </w:p>
        </w:tc>
        <w:tc>
          <w:tcPr>
            <w:tcW w:w="1267" w:type="dxa"/>
            <w:tcBorders>
              <w:top w:val="single" w:color="auto" w:sz="4" w:space="0"/>
              <w:left w:val="nil"/>
              <w:bottom w:val="single" w:color="auto" w:sz="4" w:space="0"/>
              <w:right w:val="single" w:color="auto" w:sz="4" w:space="0"/>
            </w:tcBorders>
            <w:vAlign w:val="bottom"/>
          </w:tcPr>
          <w:p>
            <w:pPr>
              <w:rPr>
                <w:rFonts w:ascii="宋体" w:hAnsi="宋体" w:cs="Arial"/>
                <w:color w:val="000000"/>
                <w:kern w:val="0"/>
                <w:sz w:val="22"/>
                <w:szCs w:val="22"/>
              </w:rPr>
            </w:pPr>
          </w:p>
        </w:tc>
        <w:tc>
          <w:tcPr>
            <w:tcW w:w="1149" w:type="dxa"/>
            <w:tcBorders>
              <w:top w:val="single" w:color="auto" w:sz="4" w:space="0"/>
              <w:left w:val="nil"/>
              <w:bottom w:val="single" w:color="auto" w:sz="4" w:space="0"/>
              <w:right w:val="single" w:color="auto" w:sz="4" w:space="0"/>
            </w:tcBorders>
            <w:vAlign w:val="bottom"/>
          </w:tcPr>
          <w:p/>
        </w:tc>
        <w:tc>
          <w:tcPr>
            <w:tcW w:w="1316" w:type="dxa"/>
            <w:tcBorders>
              <w:top w:val="single" w:color="auto" w:sz="4" w:space="0"/>
              <w:left w:val="nil"/>
              <w:bottom w:val="single" w:color="auto" w:sz="4" w:space="0"/>
              <w:right w:val="single" w:color="auto" w:sz="4" w:space="0"/>
            </w:tcBorders>
            <w:vAlign w:val="bottom"/>
          </w:tcPr>
          <w:p/>
        </w:tc>
      </w:tr>
      <w:tr>
        <w:tblPrEx>
          <w:tblCellMar>
            <w:top w:w="0" w:type="dxa"/>
            <w:left w:w="108" w:type="dxa"/>
            <w:bottom w:w="0" w:type="dxa"/>
            <w:right w:w="108" w:type="dxa"/>
          </w:tblCellMar>
        </w:tblPrEx>
        <w:trPr>
          <w:trHeight w:val="288" w:hRule="atLeast"/>
        </w:trPr>
        <w:tc>
          <w:tcPr>
            <w:tcW w:w="379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5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31</w:t>
            </w:r>
          </w:p>
        </w:tc>
        <w:tc>
          <w:tcPr>
            <w:tcW w:w="1638"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0.00 </w:t>
            </w:r>
          </w:p>
        </w:tc>
        <w:tc>
          <w:tcPr>
            <w:tcW w:w="3372"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Arial"/>
                <w:color w:val="000000"/>
                <w:kern w:val="0"/>
                <w:sz w:val="22"/>
                <w:szCs w:val="22"/>
                <w:lang w:val="en-US"/>
              </w:rPr>
            </w:pPr>
            <w:r>
              <w:rPr>
                <w:rFonts w:hint="eastAsia" w:ascii="宋体" w:hAnsi="宋体" w:cs="宋体"/>
                <w:i w:val="0"/>
                <w:iCs w:val="0"/>
                <w:color w:val="000000"/>
                <w:kern w:val="0"/>
                <w:sz w:val="22"/>
                <w:szCs w:val="22"/>
                <w:u w:val="none"/>
                <w:lang w:val="en-US" w:eastAsia="zh-CN" w:bidi="ar"/>
              </w:rPr>
              <w:t>63</w:t>
            </w:r>
          </w:p>
        </w:tc>
        <w:tc>
          <w:tcPr>
            <w:tcW w:w="1267" w:type="dxa"/>
            <w:tcBorders>
              <w:top w:val="single" w:color="auto" w:sz="4" w:space="0"/>
              <w:left w:val="nil"/>
              <w:bottom w:val="single" w:color="auto" w:sz="4" w:space="0"/>
              <w:right w:val="single" w:color="auto" w:sz="4" w:space="0"/>
            </w:tcBorders>
            <w:vAlign w:val="bottom"/>
          </w:tcPr>
          <w:p>
            <w:pPr>
              <w:rPr>
                <w:rFonts w:ascii="宋体" w:hAnsi="宋体" w:cs="Arial"/>
                <w:color w:val="000000"/>
                <w:kern w:val="0"/>
                <w:sz w:val="22"/>
                <w:szCs w:val="22"/>
              </w:rPr>
            </w:pPr>
          </w:p>
        </w:tc>
        <w:tc>
          <w:tcPr>
            <w:tcW w:w="1149" w:type="dxa"/>
            <w:tcBorders>
              <w:top w:val="single" w:color="auto" w:sz="4" w:space="0"/>
              <w:left w:val="nil"/>
              <w:bottom w:val="single" w:color="auto" w:sz="4" w:space="0"/>
              <w:right w:val="single" w:color="auto" w:sz="4" w:space="0"/>
            </w:tcBorders>
            <w:vAlign w:val="bottom"/>
          </w:tcPr>
          <w:p/>
        </w:tc>
        <w:tc>
          <w:tcPr>
            <w:tcW w:w="1316" w:type="dxa"/>
            <w:tcBorders>
              <w:top w:val="single" w:color="auto" w:sz="4" w:space="0"/>
              <w:left w:val="nil"/>
              <w:bottom w:val="single" w:color="auto" w:sz="4" w:space="0"/>
              <w:right w:val="single" w:color="auto" w:sz="4" w:space="0"/>
            </w:tcBorders>
            <w:vAlign w:val="bottom"/>
          </w:tcPr>
          <w:p/>
        </w:tc>
      </w:tr>
      <w:tr>
        <w:tblPrEx>
          <w:tblCellMar>
            <w:top w:w="0" w:type="dxa"/>
            <w:left w:w="108" w:type="dxa"/>
            <w:bottom w:w="0" w:type="dxa"/>
            <w:right w:w="108" w:type="dxa"/>
          </w:tblCellMar>
        </w:tblPrEx>
        <w:trPr>
          <w:trHeight w:val="288" w:hRule="atLeast"/>
        </w:trPr>
        <w:tc>
          <w:tcPr>
            <w:tcW w:w="379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总计</w:t>
            </w:r>
          </w:p>
        </w:tc>
        <w:tc>
          <w:tcPr>
            <w:tcW w:w="5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32</w:t>
            </w:r>
          </w:p>
        </w:tc>
        <w:tc>
          <w:tcPr>
            <w:tcW w:w="1638"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2823.02 </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总计</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Arial"/>
                <w:color w:val="000000"/>
                <w:kern w:val="0"/>
                <w:sz w:val="22"/>
                <w:szCs w:val="22"/>
                <w:lang w:val="en-US"/>
              </w:rPr>
            </w:pPr>
            <w:r>
              <w:rPr>
                <w:rFonts w:hint="eastAsia" w:ascii="宋体" w:hAnsi="宋体" w:cs="宋体"/>
                <w:i w:val="0"/>
                <w:iCs w:val="0"/>
                <w:color w:val="000000"/>
                <w:kern w:val="0"/>
                <w:sz w:val="22"/>
                <w:szCs w:val="22"/>
                <w:u w:val="none"/>
                <w:lang w:val="en-US" w:eastAsia="zh-CN" w:bidi="ar"/>
              </w:rPr>
              <w:t>64</w:t>
            </w:r>
          </w:p>
        </w:tc>
        <w:tc>
          <w:tcPr>
            <w:tcW w:w="1267"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ascii="宋体" w:hAnsi="宋体" w:cs="Arial"/>
                <w:color w:val="000000"/>
                <w:kern w:val="0"/>
                <w:sz w:val="22"/>
                <w:szCs w:val="22"/>
              </w:rPr>
            </w:pPr>
            <w:r>
              <w:rPr>
                <w:rFonts w:hint="default" w:ascii="Arial" w:hAnsi="Arial" w:eastAsia="宋体" w:cs="Arial"/>
                <w:i w:val="0"/>
                <w:iCs w:val="0"/>
                <w:color w:val="000000"/>
                <w:kern w:val="0"/>
                <w:sz w:val="20"/>
                <w:szCs w:val="20"/>
                <w:u w:val="none"/>
                <w:lang w:val="en-US" w:eastAsia="zh-CN" w:bidi="ar"/>
              </w:rPr>
              <w:t xml:space="preserve">2823.02 </w:t>
            </w:r>
          </w:p>
        </w:tc>
        <w:tc>
          <w:tcPr>
            <w:tcW w:w="1149"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pPr>
            <w:r>
              <w:rPr>
                <w:rFonts w:hint="default" w:ascii="Arial" w:hAnsi="Arial" w:eastAsia="宋体" w:cs="Arial"/>
                <w:i w:val="0"/>
                <w:iCs w:val="0"/>
                <w:color w:val="000000"/>
                <w:kern w:val="0"/>
                <w:sz w:val="20"/>
                <w:szCs w:val="20"/>
                <w:u w:val="none"/>
                <w:lang w:val="en-US" w:eastAsia="zh-CN" w:bidi="ar"/>
              </w:rPr>
              <w:t xml:space="preserve">2823.02 </w:t>
            </w:r>
          </w:p>
        </w:tc>
        <w:tc>
          <w:tcPr>
            <w:tcW w:w="1316"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pPr>
            <w:r>
              <w:rPr>
                <w:rFonts w:hint="default" w:ascii="Arial" w:hAnsi="Arial" w:eastAsia="宋体" w:cs="Arial"/>
                <w:i w:val="0"/>
                <w:iCs w:val="0"/>
                <w:color w:val="000000"/>
                <w:kern w:val="0"/>
                <w:sz w:val="20"/>
                <w:szCs w:val="20"/>
                <w:u w:val="none"/>
                <w:lang w:val="en-US" w:eastAsia="zh-CN" w:bidi="ar"/>
              </w:rPr>
              <w:t xml:space="preserve">0.00 </w:t>
            </w:r>
          </w:p>
        </w:tc>
      </w:tr>
    </w:tbl>
    <w:p>
      <w:pPr>
        <w:jc w:val="right"/>
        <w:rPr>
          <w:sz w:val="22"/>
          <w:szCs w:val="22"/>
        </w:rPr>
      </w:pPr>
    </w:p>
    <w:p>
      <w:r>
        <w:rPr>
          <w:rFonts w:hint="eastAsia"/>
        </w:rPr>
        <w:t>注：本表反映部门本年度一般公共预算财政拨款和政府性基金预算财政拨款的总收支和年末结转结余情况。</w:t>
      </w:r>
    </w:p>
    <w:p/>
    <w:p/>
    <w:p/>
    <w:p/>
    <w:p/>
    <w:p/>
    <w:p/>
    <w:p/>
    <w:p/>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color w:val="auto"/>
          <w:kern w:val="0"/>
          <w:sz w:val="36"/>
          <w:szCs w:val="36"/>
        </w:rPr>
        <w:t>表五</w:t>
      </w:r>
      <w:r>
        <w:rPr>
          <w:rFonts w:hint="eastAsia" w:ascii="方正小标宋简体" w:hAnsi="宋体" w:eastAsia="方正小标宋简体" w:cs="宋体"/>
          <w:kern w:val="0"/>
          <w:sz w:val="36"/>
          <w:szCs w:val="36"/>
        </w:rPr>
        <w:t>：</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5"/>
        <w:tblW w:w="13479" w:type="dxa"/>
        <w:jc w:val="center"/>
        <w:tblLayout w:type="fixed"/>
        <w:tblCellMar>
          <w:top w:w="0" w:type="dxa"/>
          <w:left w:w="108" w:type="dxa"/>
          <w:bottom w:w="0" w:type="dxa"/>
          <w:right w:w="108" w:type="dxa"/>
        </w:tblCellMar>
      </w:tblPr>
      <w:tblGrid>
        <w:gridCol w:w="1283"/>
        <w:gridCol w:w="3000"/>
        <w:gridCol w:w="2900"/>
        <w:gridCol w:w="2900"/>
        <w:gridCol w:w="3396"/>
      </w:tblGrid>
      <w:tr>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 目</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tblPrEx>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vAlign w:val="center"/>
          </w:tcPr>
          <w:p>
            <w:pPr>
              <w:widowControl/>
              <w:rPr>
                <w:rFonts w:ascii="MingLiU" w:hAnsi="MingLiU" w:eastAsia="MingLiU" w:cs="Arial"/>
                <w:kern w:val="0"/>
                <w:sz w:val="22"/>
                <w:szCs w:val="22"/>
              </w:rPr>
            </w:pPr>
            <w:r>
              <w:rPr>
                <w:rFonts w:hint="eastAsia" w:ascii="MingLiU" w:hAnsi="MingLiU" w:cs="Arial"/>
                <w:kern w:val="0"/>
                <w:sz w:val="22"/>
                <w:szCs w:val="22"/>
              </w:rPr>
              <w:t>支出功能分类</w:t>
            </w:r>
            <w:r>
              <w:rPr>
                <w:rFonts w:hint="eastAsia" w:ascii="MingLiU" w:hAnsi="MingLiU" w:eastAsia="MingLiU" w:cs="Arial"/>
                <w:kern w:val="0"/>
                <w:sz w:val="22"/>
                <w:szCs w:val="22"/>
              </w:rPr>
              <w:t>科目编码</w:t>
            </w:r>
          </w:p>
        </w:tc>
        <w:tc>
          <w:tcPr>
            <w:tcW w:w="3000"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b/>
                <w:bCs/>
                <w:i w:val="0"/>
                <w:iCs w:val="0"/>
                <w:color w:val="000000"/>
                <w:kern w:val="0"/>
                <w:sz w:val="22"/>
                <w:szCs w:val="22"/>
                <w:u w:val="none"/>
                <w:lang w:val="en-US" w:eastAsia="zh-CN" w:bidi="ar"/>
              </w:rPr>
              <w:t>2,675.61</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b/>
                <w:bCs/>
                <w:i w:val="0"/>
                <w:iCs w:val="0"/>
                <w:color w:val="000000"/>
                <w:kern w:val="0"/>
                <w:sz w:val="22"/>
                <w:szCs w:val="22"/>
                <w:u w:val="none"/>
                <w:lang w:val="en-US" w:eastAsia="zh-CN" w:bidi="ar"/>
              </w:rPr>
              <w:t>460.27</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b/>
                <w:bCs/>
                <w:i w:val="0"/>
                <w:iCs w:val="0"/>
                <w:color w:val="000000"/>
                <w:kern w:val="0"/>
                <w:sz w:val="22"/>
                <w:szCs w:val="22"/>
                <w:u w:val="none"/>
                <w:lang w:val="en-US" w:eastAsia="zh-CN" w:bidi="ar"/>
              </w:rPr>
              <w:t>2,215.34</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64.38</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64.38</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64.38</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64.38</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46.70</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46.70</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2080506</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17.67</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17.67</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210</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卫生健康支出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18.91</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18.91</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21011</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行政事业单位医疗</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18.91</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18.91</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2101102</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18.91</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18.91</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212</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城乡社区支出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FF0000"/>
                <w:kern w:val="0"/>
                <w:sz w:val="20"/>
                <w:szCs w:val="20"/>
              </w:rPr>
            </w:pPr>
            <w:r>
              <w:rPr>
                <w:rFonts w:hint="eastAsia" w:ascii="宋体" w:hAnsi="宋体" w:eastAsia="宋体" w:cs="宋体"/>
                <w:i w:val="0"/>
                <w:iCs w:val="0"/>
                <w:color w:val="000000"/>
                <w:kern w:val="0"/>
                <w:sz w:val="22"/>
                <w:szCs w:val="22"/>
                <w:u w:val="none"/>
                <w:lang w:val="en-US" w:eastAsia="zh-CN" w:bidi="ar"/>
              </w:rPr>
              <w:t>2,480.06</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FF0000"/>
                <w:kern w:val="0"/>
                <w:sz w:val="20"/>
                <w:szCs w:val="20"/>
              </w:rPr>
            </w:pPr>
            <w:r>
              <w:rPr>
                <w:rFonts w:hint="eastAsia" w:ascii="宋体" w:hAnsi="宋体" w:eastAsia="宋体" w:cs="宋体"/>
                <w:i w:val="0"/>
                <w:iCs w:val="0"/>
                <w:color w:val="000000"/>
                <w:kern w:val="0"/>
                <w:sz w:val="22"/>
                <w:szCs w:val="22"/>
                <w:u w:val="none"/>
                <w:lang w:val="en-US" w:eastAsia="zh-CN" w:bidi="ar"/>
              </w:rPr>
              <w:t>335.46</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FF0000"/>
                <w:kern w:val="0"/>
                <w:sz w:val="20"/>
                <w:szCs w:val="20"/>
              </w:rPr>
            </w:pPr>
            <w:r>
              <w:rPr>
                <w:rFonts w:hint="eastAsia" w:ascii="宋体" w:hAnsi="宋体" w:eastAsia="宋体" w:cs="宋体"/>
                <w:i w:val="0"/>
                <w:iCs w:val="0"/>
                <w:color w:val="000000"/>
                <w:kern w:val="0"/>
                <w:sz w:val="22"/>
                <w:szCs w:val="22"/>
                <w:u w:val="none"/>
                <w:lang w:val="en-US" w:eastAsia="zh-CN" w:bidi="ar"/>
              </w:rPr>
              <w:t>2,144.60</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21202</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29.77</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29.77</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2120201</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 xml:space="preserve">  城乡社区规划与管理</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29.77</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29.77</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21205</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城乡社区环境卫生</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1,441.78</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335.46</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1,106.32</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2120501</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1,441.78</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335.46</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1,106.32</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21299</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其他城乡社区支出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1,008.51</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1,008.51</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2129901</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 xml:space="preserve">  其他城乡社区支出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1,008.51</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1,008.51</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213</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农林水支出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75.66</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4.92</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70.75</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21302</w:t>
            </w:r>
          </w:p>
        </w:tc>
        <w:tc>
          <w:tcPr>
            <w:tcW w:w="30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林业和草原</w:t>
            </w:r>
          </w:p>
        </w:tc>
        <w:tc>
          <w:tcPr>
            <w:tcW w:w="2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75.66</w:t>
            </w:r>
          </w:p>
        </w:tc>
        <w:tc>
          <w:tcPr>
            <w:tcW w:w="2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4.92</w:t>
            </w:r>
          </w:p>
        </w:tc>
        <w:tc>
          <w:tcPr>
            <w:tcW w:w="339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70.75</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2130207</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 xml:space="preserve">  森林资源管理</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0.27</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0.27</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2130299</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 xml:space="preserve">  其他林业和草原支出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75.39</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4.92</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70.48</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221</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住房保障支出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36.60</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36.60</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22102</w:t>
            </w:r>
          </w:p>
        </w:tc>
        <w:tc>
          <w:tcPr>
            <w:tcW w:w="30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住房改革支出</w:t>
            </w:r>
          </w:p>
        </w:tc>
        <w:tc>
          <w:tcPr>
            <w:tcW w:w="2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36.60</w:t>
            </w:r>
          </w:p>
        </w:tc>
        <w:tc>
          <w:tcPr>
            <w:tcW w:w="2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36.60</w:t>
            </w:r>
          </w:p>
        </w:tc>
        <w:tc>
          <w:tcPr>
            <w:tcW w:w="339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99"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2210201</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36.60</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36.60</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bl>
    <w:p/>
    <w:p>
      <w:r>
        <w:rPr>
          <w:rFonts w:hint="eastAsia"/>
        </w:rPr>
        <w:t>注：本表反映部门本年度一般公共预算财政拨款实际支出情况。</w:t>
      </w:r>
    </w:p>
    <w:p/>
    <w:p/>
    <w:p/>
    <w:p/>
    <w:p/>
    <w:p/>
    <w:p/>
    <w:p>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jc w:val="center"/>
        <w:rPr>
          <w:rFonts w:ascii="方正小标宋简体" w:hAnsi="宋体" w:eastAsia="方正小标宋简体" w:cs="宋体"/>
          <w:kern w:val="0"/>
          <w:sz w:val="36"/>
          <w:szCs w:val="36"/>
        </w:rPr>
      </w:pPr>
    </w:p>
    <w:p>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5"/>
        <w:tblW w:w="9424" w:type="dxa"/>
        <w:tblInd w:w="-180" w:type="dxa"/>
        <w:tblLayout w:type="fixed"/>
        <w:tblCellMar>
          <w:top w:w="0" w:type="dxa"/>
          <w:left w:w="108" w:type="dxa"/>
          <w:bottom w:w="0" w:type="dxa"/>
          <w:right w:w="108" w:type="dxa"/>
        </w:tblCellMar>
      </w:tblPr>
      <w:tblGrid>
        <w:gridCol w:w="1189"/>
        <w:gridCol w:w="2561"/>
        <w:gridCol w:w="1510"/>
        <w:gridCol w:w="849"/>
        <w:gridCol w:w="1710"/>
        <w:gridCol w:w="1605"/>
      </w:tblGrid>
      <w:tr>
        <w:tblPrEx>
          <w:tblCellMar>
            <w:top w:w="0" w:type="dxa"/>
            <w:left w:w="108" w:type="dxa"/>
            <w:bottom w:w="0" w:type="dxa"/>
            <w:right w:w="108" w:type="dxa"/>
          </w:tblCellMar>
        </w:tblPrEx>
        <w:trPr>
          <w:trHeight w:val="564" w:hRule="atLeast"/>
        </w:trPr>
        <w:tc>
          <w:tcPr>
            <w:tcW w:w="526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416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tblPrEx>
          <w:tblCellMar>
            <w:top w:w="0" w:type="dxa"/>
            <w:left w:w="108" w:type="dxa"/>
            <w:bottom w:w="0" w:type="dxa"/>
            <w:right w:w="108" w:type="dxa"/>
          </w:tblCellMar>
        </w:tblPrEx>
        <w:trPr>
          <w:trHeight w:val="1036" w:hRule="atLeast"/>
        </w:trPr>
        <w:tc>
          <w:tcPr>
            <w:tcW w:w="1189"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支出经济分类科目编码</w:t>
            </w:r>
          </w:p>
        </w:tc>
        <w:tc>
          <w:tcPr>
            <w:tcW w:w="2561"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1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849"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171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05"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CellMar>
            <w:top w:w="0" w:type="dxa"/>
            <w:left w:w="108" w:type="dxa"/>
            <w:bottom w:w="0" w:type="dxa"/>
            <w:right w:w="108" w:type="dxa"/>
          </w:tblCellMar>
        </w:tblPrEx>
        <w:trPr>
          <w:trHeight w:val="264" w:hRule="atLeast"/>
        </w:trPr>
        <w:tc>
          <w:tcPr>
            <w:tcW w:w="118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301</w:t>
            </w:r>
          </w:p>
        </w:tc>
        <w:tc>
          <w:tcPr>
            <w:tcW w:w="25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工资福利支出</w:t>
            </w:r>
          </w:p>
        </w:tc>
        <w:tc>
          <w:tcPr>
            <w:tcW w:w="15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435.95</w:t>
            </w: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w:t>
            </w: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商品和服务支出</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19.84</w:t>
            </w:r>
          </w:p>
        </w:tc>
      </w:tr>
      <w:tr>
        <w:tblPrEx>
          <w:tblCellMar>
            <w:top w:w="0" w:type="dxa"/>
            <w:left w:w="108" w:type="dxa"/>
            <w:bottom w:w="0" w:type="dxa"/>
            <w:right w:w="108" w:type="dxa"/>
          </w:tblCellMar>
        </w:tblPrEx>
        <w:trPr>
          <w:trHeight w:val="264" w:hRule="atLeast"/>
        </w:trPr>
        <w:tc>
          <w:tcPr>
            <w:tcW w:w="118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30101</w:t>
            </w:r>
          </w:p>
        </w:tc>
        <w:tc>
          <w:tcPr>
            <w:tcW w:w="25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5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153.09</w:t>
            </w: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30201</w:t>
            </w: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3.82</w:t>
            </w:r>
          </w:p>
        </w:tc>
      </w:tr>
      <w:tr>
        <w:tblPrEx>
          <w:tblCellMar>
            <w:top w:w="0" w:type="dxa"/>
            <w:left w:w="108" w:type="dxa"/>
            <w:bottom w:w="0" w:type="dxa"/>
            <w:right w:w="108" w:type="dxa"/>
          </w:tblCellMar>
        </w:tblPrEx>
        <w:trPr>
          <w:trHeight w:val="264" w:hRule="atLeast"/>
        </w:trPr>
        <w:tc>
          <w:tcPr>
            <w:tcW w:w="118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30102</w:t>
            </w:r>
          </w:p>
        </w:tc>
        <w:tc>
          <w:tcPr>
            <w:tcW w:w="25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5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5.89</w:t>
            </w: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30202</w:t>
            </w: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0.11</w:t>
            </w:r>
          </w:p>
        </w:tc>
      </w:tr>
      <w:tr>
        <w:tblPrEx>
          <w:tblCellMar>
            <w:top w:w="0" w:type="dxa"/>
            <w:left w:w="108" w:type="dxa"/>
            <w:bottom w:w="0" w:type="dxa"/>
            <w:right w:w="108" w:type="dxa"/>
          </w:tblCellMar>
        </w:tblPrEx>
        <w:trPr>
          <w:trHeight w:val="264" w:hRule="atLeast"/>
        </w:trPr>
        <w:tc>
          <w:tcPr>
            <w:tcW w:w="118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30103</w:t>
            </w:r>
          </w:p>
        </w:tc>
        <w:tc>
          <w:tcPr>
            <w:tcW w:w="25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奖金</w:t>
            </w:r>
          </w:p>
        </w:tc>
        <w:tc>
          <w:tcPr>
            <w:tcW w:w="15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30203</w:t>
            </w: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1.50</w:t>
            </w:r>
          </w:p>
        </w:tc>
      </w:tr>
      <w:tr>
        <w:tblPrEx>
          <w:tblCellMar>
            <w:top w:w="0" w:type="dxa"/>
            <w:left w:w="108" w:type="dxa"/>
            <w:bottom w:w="0" w:type="dxa"/>
            <w:right w:w="108" w:type="dxa"/>
          </w:tblCellMar>
        </w:tblPrEx>
        <w:trPr>
          <w:trHeight w:val="264" w:hRule="atLeast"/>
        </w:trPr>
        <w:tc>
          <w:tcPr>
            <w:tcW w:w="118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30106</w:t>
            </w:r>
          </w:p>
        </w:tc>
        <w:tc>
          <w:tcPr>
            <w:tcW w:w="25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5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14.17</w:t>
            </w: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30204</w:t>
            </w: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trPr>
        <w:tc>
          <w:tcPr>
            <w:tcW w:w="118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30107</w:t>
            </w:r>
          </w:p>
        </w:tc>
        <w:tc>
          <w:tcPr>
            <w:tcW w:w="25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5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137.29</w:t>
            </w: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30205</w:t>
            </w: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水费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trPr>
        <w:tc>
          <w:tcPr>
            <w:tcW w:w="118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30108</w:t>
            </w:r>
          </w:p>
        </w:tc>
        <w:tc>
          <w:tcPr>
            <w:tcW w:w="25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5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43.83</w:t>
            </w: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30206</w:t>
            </w: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电费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trPr>
        <w:tc>
          <w:tcPr>
            <w:tcW w:w="118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30109</w:t>
            </w:r>
          </w:p>
        </w:tc>
        <w:tc>
          <w:tcPr>
            <w:tcW w:w="25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5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20.55</w:t>
            </w: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30207</w:t>
            </w: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0.29</w:t>
            </w:r>
          </w:p>
        </w:tc>
      </w:tr>
      <w:tr>
        <w:tblPrEx>
          <w:tblCellMar>
            <w:top w:w="0" w:type="dxa"/>
            <w:left w:w="108" w:type="dxa"/>
            <w:bottom w:w="0" w:type="dxa"/>
            <w:right w:w="108" w:type="dxa"/>
          </w:tblCellMar>
        </w:tblPrEx>
        <w:trPr>
          <w:trHeight w:val="264" w:hRule="atLeast"/>
        </w:trPr>
        <w:tc>
          <w:tcPr>
            <w:tcW w:w="118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30110</w:t>
            </w:r>
          </w:p>
        </w:tc>
        <w:tc>
          <w:tcPr>
            <w:tcW w:w="25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5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18.99</w:t>
            </w: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30208</w:t>
            </w: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trPr>
        <w:tc>
          <w:tcPr>
            <w:tcW w:w="118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30111</w:t>
            </w:r>
          </w:p>
        </w:tc>
        <w:tc>
          <w:tcPr>
            <w:tcW w:w="25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5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30209</w:t>
            </w: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trPr>
        <w:tc>
          <w:tcPr>
            <w:tcW w:w="118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30112</w:t>
            </w:r>
          </w:p>
        </w:tc>
        <w:tc>
          <w:tcPr>
            <w:tcW w:w="25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5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1.55</w:t>
            </w: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30211</w:t>
            </w: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3.09</w:t>
            </w:r>
          </w:p>
        </w:tc>
      </w:tr>
      <w:tr>
        <w:tblPrEx>
          <w:tblCellMar>
            <w:top w:w="0" w:type="dxa"/>
            <w:left w:w="108" w:type="dxa"/>
            <w:bottom w:w="0" w:type="dxa"/>
            <w:right w:w="108" w:type="dxa"/>
          </w:tblCellMar>
        </w:tblPrEx>
        <w:trPr>
          <w:trHeight w:val="276" w:hRule="atLeast"/>
        </w:trPr>
        <w:tc>
          <w:tcPr>
            <w:tcW w:w="118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30113</w:t>
            </w:r>
          </w:p>
        </w:tc>
        <w:tc>
          <w:tcPr>
            <w:tcW w:w="25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5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36.60</w:t>
            </w: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30212</w:t>
            </w: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118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30114</w:t>
            </w:r>
          </w:p>
        </w:tc>
        <w:tc>
          <w:tcPr>
            <w:tcW w:w="25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5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30213</w:t>
            </w: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118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30199</w:t>
            </w:r>
          </w:p>
        </w:tc>
        <w:tc>
          <w:tcPr>
            <w:tcW w:w="25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5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3.99</w:t>
            </w: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30214</w:t>
            </w: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1.05</w:t>
            </w:r>
          </w:p>
        </w:tc>
      </w:tr>
      <w:tr>
        <w:tblPrEx>
          <w:tblCellMar>
            <w:top w:w="0" w:type="dxa"/>
            <w:left w:w="108" w:type="dxa"/>
            <w:bottom w:w="0" w:type="dxa"/>
            <w:right w:w="108" w:type="dxa"/>
          </w:tblCellMar>
        </w:tblPrEx>
        <w:trPr>
          <w:trHeight w:val="276" w:hRule="atLeast"/>
        </w:trPr>
        <w:tc>
          <w:tcPr>
            <w:tcW w:w="118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w:t>
            </w:r>
          </w:p>
        </w:tc>
        <w:tc>
          <w:tcPr>
            <w:tcW w:w="25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5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0.06</w:t>
            </w: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30215</w:t>
            </w: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118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30301</w:t>
            </w:r>
          </w:p>
        </w:tc>
        <w:tc>
          <w:tcPr>
            <w:tcW w:w="25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5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30216</w:t>
            </w: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1.02</w:t>
            </w:r>
          </w:p>
        </w:tc>
      </w:tr>
      <w:tr>
        <w:tblPrEx>
          <w:tblCellMar>
            <w:top w:w="0" w:type="dxa"/>
            <w:left w:w="108" w:type="dxa"/>
            <w:bottom w:w="0" w:type="dxa"/>
            <w:right w:w="108" w:type="dxa"/>
          </w:tblCellMar>
        </w:tblPrEx>
        <w:trPr>
          <w:trHeight w:val="276" w:hRule="atLeast"/>
        </w:trPr>
        <w:tc>
          <w:tcPr>
            <w:tcW w:w="118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30302</w:t>
            </w:r>
          </w:p>
        </w:tc>
        <w:tc>
          <w:tcPr>
            <w:tcW w:w="25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5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30217</w:t>
            </w: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0.23</w:t>
            </w:r>
          </w:p>
        </w:tc>
      </w:tr>
      <w:tr>
        <w:tblPrEx>
          <w:tblCellMar>
            <w:top w:w="0" w:type="dxa"/>
            <w:left w:w="108" w:type="dxa"/>
            <w:bottom w:w="0" w:type="dxa"/>
            <w:right w:w="108" w:type="dxa"/>
          </w:tblCellMar>
        </w:tblPrEx>
        <w:trPr>
          <w:trHeight w:val="276" w:hRule="atLeast"/>
        </w:trPr>
        <w:tc>
          <w:tcPr>
            <w:tcW w:w="118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30303</w:t>
            </w:r>
          </w:p>
        </w:tc>
        <w:tc>
          <w:tcPr>
            <w:tcW w:w="25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5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30218</w:t>
            </w: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118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30304</w:t>
            </w:r>
          </w:p>
        </w:tc>
        <w:tc>
          <w:tcPr>
            <w:tcW w:w="25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5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30224</w:t>
            </w: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118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30305</w:t>
            </w:r>
          </w:p>
        </w:tc>
        <w:tc>
          <w:tcPr>
            <w:tcW w:w="25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5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30225</w:t>
            </w: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118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30306</w:t>
            </w:r>
          </w:p>
        </w:tc>
        <w:tc>
          <w:tcPr>
            <w:tcW w:w="25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5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0.02</w:t>
            </w: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30226</w:t>
            </w: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1.79</w:t>
            </w:r>
          </w:p>
        </w:tc>
      </w:tr>
      <w:tr>
        <w:tblPrEx>
          <w:tblCellMar>
            <w:top w:w="0" w:type="dxa"/>
            <w:left w:w="108" w:type="dxa"/>
            <w:bottom w:w="0" w:type="dxa"/>
            <w:right w:w="108" w:type="dxa"/>
          </w:tblCellMar>
        </w:tblPrEx>
        <w:trPr>
          <w:trHeight w:val="276" w:hRule="atLeast"/>
        </w:trPr>
        <w:tc>
          <w:tcPr>
            <w:tcW w:w="118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30307</w:t>
            </w:r>
          </w:p>
        </w:tc>
        <w:tc>
          <w:tcPr>
            <w:tcW w:w="25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5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30227</w:t>
            </w: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118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30308</w:t>
            </w:r>
          </w:p>
        </w:tc>
        <w:tc>
          <w:tcPr>
            <w:tcW w:w="25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5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30228</w:t>
            </w: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4.48</w:t>
            </w:r>
          </w:p>
        </w:tc>
      </w:tr>
      <w:tr>
        <w:tblPrEx>
          <w:tblCellMar>
            <w:top w:w="0" w:type="dxa"/>
            <w:left w:w="108" w:type="dxa"/>
            <w:bottom w:w="0" w:type="dxa"/>
            <w:right w:w="108" w:type="dxa"/>
          </w:tblCellMar>
        </w:tblPrEx>
        <w:trPr>
          <w:trHeight w:val="276" w:hRule="atLeast"/>
        </w:trPr>
        <w:tc>
          <w:tcPr>
            <w:tcW w:w="118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30309</w:t>
            </w:r>
          </w:p>
        </w:tc>
        <w:tc>
          <w:tcPr>
            <w:tcW w:w="25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5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0.04</w:t>
            </w: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30229</w:t>
            </w: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118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30310</w:t>
            </w:r>
          </w:p>
        </w:tc>
        <w:tc>
          <w:tcPr>
            <w:tcW w:w="25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5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30231</w:t>
            </w: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118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30311</w:t>
            </w:r>
          </w:p>
        </w:tc>
        <w:tc>
          <w:tcPr>
            <w:tcW w:w="25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5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30239</w:t>
            </w: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118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30399</w:t>
            </w:r>
          </w:p>
        </w:tc>
        <w:tc>
          <w:tcPr>
            <w:tcW w:w="256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5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30240</w:t>
            </w:r>
          </w:p>
        </w:tc>
        <w:tc>
          <w:tcPr>
            <w:tcW w:w="17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6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0.04</w:t>
            </w:r>
          </w:p>
        </w:tc>
      </w:tr>
      <w:tr>
        <w:tblPrEx>
          <w:tblCellMar>
            <w:top w:w="0" w:type="dxa"/>
            <w:left w:w="108" w:type="dxa"/>
            <w:bottom w:w="0" w:type="dxa"/>
            <w:right w:w="108" w:type="dxa"/>
          </w:tblCellMar>
        </w:tblPrEx>
        <w:trPr>
          <w:trHeight w:val="276" w:hRule="atLeast"/>
        </w:trPr>
        <w:tc>
          <w:tcPr>
            <w:tcW w:w="1189" w:type="dxa"/>
            <w:tcBorders>
              <w:top w:val="nil"/>
              <w:left w:val="single" w:color="auto" w:sz="4" w:space="0"/>
              <w:bottom w:val="single" w:color="auto" w:sz="4" w:space="0"/>
              <w:right w:val="single" w:color="auto" w:sz="4" w:space="0"/>
            </w:tcBorders>
            <w:vAlign w:val="center"/>
          </w:tcPr>
          <w:p>
            <w:pPr>
              <w:jc w:val="left"/>
              <w:rPr>
                <w:rFonts w:ascii="宋体" w:hAnsi="宋体" w:cs="Arial"/>
                <w:color w:val="000000"/>
                <w:kern w:val="0"/>
                <w:sz w:val="22"/>
                <w:szCs w:val="22"/>
              </w:rPr>
            </w:pPr>
          </w:p>
        </w:tc>
        <w:tc>
          <w:tcPr>
            <w:tcW w:w="2561"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c>
          <w:tcPr>
            <w:tcW w:w="1510" w:type="dxa"/>
            <w:tcBorders>
              <w:top w:val="nil"/>
              <w:left w:val="nil"/>
              <w:bottom w:val="single" w:color="auto" w:sz="4" w:space="0"/>
              <w:right w:val="single" w:color="auto" w:sz="4" w:space="0"/>
            </w:tcBorders>
            <w:vAlign w:val="center"/>
          </w:tcPr>
          <w:p>
            <w:pPr>
              <w:jc w:val="righ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30299</w:t>
            </w: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2.43</w:t>
            </w:r>
          </w:p>
        </w:tc>
      </w:tr>
      <w:tr>
        <w:tblPrEx>
          <w:tblCellMar>
            <w:top w:w="0" w:type="dxa"/>
            <w:left w:w="108" w:type="dxa"/>
            <w:bottom w:w="0" w:type="dxa"/>
            <w:right w:w="108" w:type="dxa"/>
          </w:tblCellMar>
        </w:tblPrEx>
        <w:trPr>
          <w:trHeight w:val="276" w:hRule="atLeast"/>
        </w:trPr>
        <w:tc>
          <w:tcPr>
            <w:tcW w:w="1189" w:type="dxa"/>
            <w:tcBorders>
              <w:top w:val="nil"/>
              <w:left w:val="single" w:color="auto" w:sz="4" w:space="0"/>
              <w:bottom w:val="single" w:color="auto" w:sz="4" w:space="0"/>
              <w:right w:val="single" w:color="auto" w:sz="4" w:space="0"/>
            </w:tcBorders>
            <w:vAlign w:val="center"/>
          </w:tcPr>
          <w:p>
            <w:pPr>
              <w:jc w:val="left"/>
              <w:rPr>
                <w:rFonts w:ascii="宋体" w:hAnsi="宋体" w:cs="Arial"/>
                <w:color w:val="000000"/>
                <w:kern w:val="0"/>
                <w:sz w:val="22"/>
                <w:szCs w:val="22"/>
              </w:rPr>
            </w:pPr>
          </w:p>
        </w:tc>
        <w:tc>
          <w:tcPr>
            <w:tcW w:w="2561"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c>
          <w:tcPr>
            <w:tcW w:w="1510" w:type="dxa"/>
            <w:tcBorders>
              <w:top w:val="nil"/>
              <w:left w:val="nil"/>
              <w:bottom w:val="single" w:color="auto" w:sz="4" w:space="0"/>
              <w:right w:val="single" w:color="auto" w:sz="4" w:space="0"/>
            </w:tcBorders>
            <w:vAlign w:val="center"/>
          </w:tcPr>
          <w:p>
            <w:pPr>
              <w:jc w:val="righ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310</w:t>
            </w: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资本性支出</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4.42</w:t>
            </w:r>
          </w:p>
        </w:tc>
      </w:tr>
      <w:tr>
        <w:tblPrEx>
          <w:tblCellMar>
            <w:top w:w="0" w:type="dxa"/>
            <w:left w:w="108" w:type="dxa"/>
            <w:bottom w:w="0" w:type="dxa"/>
            <w:right w:w="108" w:type="dxa"/>
          </w:tblCellMar>
        </w:tblPrEx>
        <w:trPr>
          <w:trHeight w:val="276" w:hRule="atLeast"/>
        </w:trPr>
        <w:tc>
          <w:tcPr>
            <w:tcW w:w="1189" w:type="dxa"/>
            <w:tcBorders>
              <w:top w:val="nil"/>
              <w:left w:val="single" w:color="auto" w:sz="4" w:space="0"/>
              <w:bottom w:val="single" w:color="auto" w:sz="4" w:space="0"/>
              <w:right w:val="single" w:color="auto" w:sz="4" w:space="0"/>
            </w:tcBorders>
            <w:vAlign w:val="center"/>
          </w:tcPr>
          <w:p>
            <w:pPr>
              <w:jc w:val="left"/>
              <w:rPr>
                <w:rFonts w:ascii="宋体" w:hAnsi="宋体" w:cs="Arial"/>
                <w:color w:val="000000"/>
                <w:kern w:val="0"/>
                <w:sz w:val="22"/>
                <w:szCs w:val="22"/>
              </w:rPr>
            </w:pPr>
          </w:p>
        </w:tc>
        <w:tc>
          <w:tcPr>
            <w:tcW w:w="2561"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c>
          <w:tcPr>
            <w:tcW w:w="1510" w:type="dxa"/>
            <w:tcBorders>
              <w:top w:val="nil"/>
              <w:left w:val="nil"/>
              <w:bottom w:val="single" w:color="auto" w:sz="4" w:space="0"/>
              <w:right w:val="single" w:color="auto" w:sz="4" w:space="0"/>
            </w:tcBorders>
            <w:vAlign w:val="center"/>
          </w:tcPr>
          <w:p>
            <w:pPr>
              <w:jc w:val="righ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31002</w:t>
            </w: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办公设备购置</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4.42</w:t>
            </w:r>
          </w:p>
        </w:tc>
      </w:tr>
      <w:tr>
        <w:tblPrEx>
          <w:tblCellMar>
            <w:top w:w="0" w:type="dxa"/>
            <w:left w:w="108" w:type="dxa"/>
            <w:bottom w:w="0" w:type="dxa"/>
            <w:right w:w="108" w:type="dxa"/>
          </w:tblCellMar>
        </w:tblPrEx>
        <w:trPr>
          <w:trHeight w:val="264" w:hRule="atLeast"/>
        </w:trPr>
        <w:tc>
          <w:tcPr>
            <w:tcW w:w="375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1510" w:type="dxa"/>
            <w:tcBorders>
              <w:top w:val="single" w:color="auto" w:sz="4" w:space="0"/>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436.01</w:t>
            </w:r>
          </w:p>
        </w:tc>
        <w:tc>
          <w:tcPr>
            <w:tcW w:w="2559"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1605" w:type="dxa"/>
            <w:tcBorders>
              <w:top w:val="single" w:color="auto" w:sz="4" w:space="0"/>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24.26</w:t>
            </w:r>
          </w:p>
        </w:tc>
      </w:tr>
    </w:tbl>
    <w:p>
      <w:pPr>
        <w:sectPr>
          <w:pgSz w:w="11906" w:h="16838"/>
          <w:pgMar w:top="1440" w:right="1797" w:bottom="1440" w:left="1797" w:header="851" w:footer="992" w:gutter="0"/>
          <w:pgNumType w:fmt="numberInDash"/>
          <w:cols w:space="720" w:num="1"/>
          <w:docGrid w:type="lines" w:linePitch="312" w:charSpace="0"/>
        </w:sectPr>
      </w:pPr>
      <w:r>
        <w:rPr>
          <w:rFonts w:hint="eastAsia"/>
        </w:rPr>
        <w:t>注：本表反映部门本年度一般公共预算财政拨款基本支出明细情况。</w:t>
      </w: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5"/>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0.23</w:t>
            </w:r>
          </w:p>
        </w:tc>
        <w:tc>
          <w:tcPr>
            <w:tcW w:w="160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2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0.23</w:t>
            </w:r>
          </w:p>
        </w:tc>
        <w:tc>
          <w:tcPr>
            <w:tcW w:w="80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0.23</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39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20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0.23</w:t>
            </w:r>
          </w:p>
        </w:tc>
      </w:tr>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注：本表反映部门本年度“三公”经费支出预决算情况。其中，2020年度预算数为“三公”经费年初预算数，决算数是包括当年一般公共预算财政拨款和以前年度结转资金安排的实际支出。</w:t>
      </w:r>
    </w:p>
    <w:p/>
    <w:p/>
    <w:tbl>
      <w:tblPr>
        <w:tblStyle w:val="5"/>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ind w:firstLine="420"/>
        <w:rPr>
          <w:rFonts w:hint="eastAsia" w:eastAsia="宋体"/>
          <w:lang w:eastAsia="zh-CN"/>
        </w:rPr>
      </w:pPr>
      <w:r>
        <w:rPr>
          <w:rFonts w:hint="eastAsia"/>
        </w:rPr>
        <w:t>注：本表反映部门本年度政府性基金预算财政拨款收入支出及结转和结余情况。</w:t>
      </w:r>
      <w:r>
        <w:rPr>
          <w:rFonts w:hint="eastAsia"/>
          <w:lang w:eastAsia="zh-CN"/>
        </w:rPr>
        <w:t>柳州市莲花山保护中心没有政府性基金预算财政拨款收入，也没有政府性基金预算安排的支出，故本表无数据。</w:t>
      </w:r>
    </w:p>
    <w:p>
      <w:pPr>
        <w:spacing w:line="560" w:lineRule="exact"/>
        <w:ind w:firstLine="420"/>
        <w:rPr>
          <w:rFonts w:hint="eastAsia"/>
        </w:rPr>
      </w:pPr>
    </w:p>
    <w:tbl>
      <w:tblPr>
        <w:tblStyle w:val="5"/>
        <w:tblW w:w="13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18"/>
        <w:gridCol w:w="1292"/>
        <w:gridCol w:w="2249"/>
        <w:gridCol w:w="3242"/>
        <w:gridCol w:w="1344"/>
        <w:gridCol w:w="4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bidi="ar"/>
              </w:rPr>
              <w:t>表九：国有资本经营预算财政拨款支出决算表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trPr>
        <w:tc>
          <w:tcPr>
            <w:tcW w:w="1318"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部门：</w:t>
            </w:r>
          </w:p>
        </w:tc>
        <w:tc>
          <w:tcPr>
            <w:tcW w:w="1292"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2249"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3242"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344"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4075"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项 </w:t>
            </w:r>
            <w:r>
              <w:rPr>
                <w:rStyle w:val="9"/>
                <w:highlight w:val="none"/>
                <w:lang w:val="en-US" w:eastAsia="zh-CN" w:bidi="ar"/>
              </w:rPr>
              <w:t xml:space="preserve">   </w:t>
            </w:r>
            <w:r>
              <w:rPr>
                <w:rStyle w:val="10"/>
                <w:highlight w:val="none"/>
                <w:lang w:val="en-US" w:eastAsia="zh-CN" w:bidi="ar"/>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注：本表反映部门本年度国有资本经营预算财政拨款支出情况。柳州市莲花山保护中心没有国有资本经营预算财政拨款，也没有国有资本经营预算安排</w:t>
            </w:r>
            <w:r>
              <w:rPr>
                <w:rFonts w:hint="eastAsia" w:ascii="宋体" w:hAnsi="宋体" w:cs="宋体"/>
                <w:i w:val="0"/>
                <w:color w:val="000000"/>
                <w:kern w:val="0"/>
                <w:sz w:val="24"/>
                <w:szCs w:val="24"/>
                <w:highlight w:val="none"/>
                <w:u w:val="none"/>
                <w:lang w:val="en-US" w:eastAsia="zh-CN" w:bidi="ar"/>
              </w:rPr>
              <w:t>的</w:t>
            </w:r>
            <w:r>
              <w:rPr>
                <w:rFonts w:hint="eastAsia" w:ascii="宋体" w:hAnsi="宋体" w:eastAsia="宋体" w:cs="宋体"/>
                <w:i w:val="0"/>
                <w:color w:val="000000"/>
                <w:kern w:val="0"/>
                <w:sz w:val="24"/>
                <w:szCs w:val="24"/>
                <w:highlight w:val="none"/>
                <w:u w:val="none"/>
                <w:lang w:val="en-US" w:eastAsia="zh-CN" w:bidi="ar"/>
              </w:rPr>
              <w:t>支出，故本表无数据。</w:t>
            </w:r>
          </w:p>
        </w:tc>
      </w:tr>
    </w:tbl>
    <w:p>
      <w:pPr>
        <w:spacing w:line="560" w:lineRule="exact"/>
        <w:ind w:firstLine="420"/>
        <w:rPr>
          <w:rFonts w:hint="eastAsia"/>
          <w:highlight w:val="none"/>
        </w:rPr>
        <w:sectPr>
          <w:pgSz w:w="16838" w:h="11906" w:orient="landscape"/>
          <w:pgMar w:top="1797" w:right="1440" w:bottom="1797" w:left="1440" w:header="851" w:footer="992" w:gutter="0"/>
          <w:pgNumType w:fmt="numberInDash"/>
          <w:cols w:space="720" w:num="1"/>
          <w:docGrid w:type="lines" w:linePitch="312" w:charSpace="0"/>
        </w:sectPr>
      </w:pPr>
    </w:p>
    <w:p>
      <w:pPr>
        <w:spacing w:line="580" w:lineRule="exact"/>
        <w:jc w:val="center"/>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single"/>
          <w:lang w:eastAsia="zh-CN"/>
        </w:rPr>
        <w:t>柳州市莲花山保护中心</w:t>
      </w:r>
      <w:r>
        <w:rPr>
          <w:rFonts w:hint="eastAsia" w:ascii="仿宋_GB2312" w:eastAsia="仿宋_GB2312"/>
          <w:b/>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2654.73</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2795.93</w:t>
      </w:r>
      <w:r>
        <w:rPr>
          <w:rFonts w:hint="eastAsia" w:ascii="仿宋_GB2312" w:eastAsia="仿宋_GB2312" w:cs="仿宋_GB2312"/>
          <w:bCs/>
          <w:kern w:val="0"/>
          <w:sz w:val="32"/>
          <w:szCs w:val="32"/>
        </w:rPr>
        <w:t>万元，与2019年相比，</w:t>
      </w:r>
      <w:r>
        <w:rPr>
          <w:rFonts w:hint="eastAsia" w:ascii="仿宋_GB2312" w:eastAsia="仿宋_GB2312" w:cs="仿宋_GB2312"/>
          <w:bCs/>
          <w:kern w:val="0"/>
          <w:sz w:val="32"/>
          <w:szCs w:val="32"/>
          <w:lang w:eastAsia="zh-CN"/>
        </w:rPr>
        <w:t>收、支分别</w:t>
      </w:r>
      <w:r>
        <w:rPr>
          <w:rFonts w:hint="eastAsia" w:ascii="仿宋_GB2312" w:hAnsi="仿宋" w:eastAsia="仿宋_GB2312"/>
          <w:color w:val="auto"/>
          <w:sz w:val="32"/>
          <w:szCs w:val="32"/>
          <w:lang w:val="en-US" w:eastAsia="zh-CN"/>
        </w:rPr>
        <w:t>增加642.64万元、1176.67万元，分别增长31.94%、</w:t>
      </w:r>
      <w:r>
        <w:rPr>
          <w:rFonts w:hint="eastAsia" w:ascii="仿宋_GB2312" w:eastAsia="仿宋_GB2312" w:cs="仿宋_GB2312"/>
          <w:bCs/>
          <w:kern w:val="0"/>
          <w:sz w:val="32"/>
          <w:szCs w:val="32"/>
          <w:lang w:val="en-US" w:eastAsia="zh-CN"/>
        </w:rPr>
        <w:t>72.67</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2654.73</w:t>
      </w:r>
      <w:r>
        <w:rPr>
          <w:rFonts w:hint="eastAsia" w:ascii="仿宋_GB2312" w:eastAsia="仿宋_GB2312" w:cs="仿宋_GB2312"/>
          <w:bCs/>
          <w:kern w:val="0"/>
          <w:sz w:val="32"/>
          <w:szCs w:val="32"/>
        </w:rPr>
        <w:t>万元 ，其中：一般公共预算财政拨款收入</w:t>
      </w:r>
      <w:r>
        <w:rPr>
          <w:rFonts w:hint="eastAsia" w:ascii="仿宋_GB2312" w:hAnsi="仿宋" w:eastAsia="仿宋_GB2312"/>
          <w:color w:val="auto"/>
          <w:sz w:val="32"/>
          <w:szCs w:val="32"/>
          <w:lang w:val="en-US" w:eastAsia="zh-CN"/>
        </w:rPr>
        <w:t>2546.35</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占比</w:t>
      </w:r>
      <w:r>
        <w:rPr>
          <w:rFonts w:hint="eastAsia" w:ascii="仿宋_GB2312" w:hAnsi="仿宋" w:eastAsia="仿宋_GB2312"/>
          <w:color w:val="auto"/>
          <w:sz w:val="32"/>
          <w:szCs w:val="32"/>
          <w:lang w:val="en-US" w:eastAsia="zh-CN"/>
        </w:rPr>
        <w:t>95.92%</w:t>
      </w:r>
      <w:r>
        <w:rPr>
          <w:rFonts w:hint="eastAsia" w:ascii="仿宋_GB2312" w:eastAsia="仿宋_GB2312" w:cs="仿宋_GB2312"/>
          <w:bCs/>
          <w:kern w:val="0"/>
          <w:sz w:val="32"/>
          <w:szCs w:val="32"/>
        </w:rPr>
        <w:t>；政府基金预算财政拨款收入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万元；上级补助收入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万元；事业收入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万元；事业单位经营收入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万元；其他收入</w:t>
      </w:r>
      <w:r>
        <w:rPr>
          <w:rFonts w:hint="eastAsia" w:ascii="仿宋_GB2312" w:eastAsia="仿宋_GB2312" w:cs="仿宋_GB2312"/>
          <w:bCs/>
          <w:kern w:val="0"/>
          <w:sz w:val="32"/>
          <w:szCs w:val="32"/>
          <w:lang w:val="en-US" w:eastAsia="zh-CN"/>
        </w:rPr>
        <w:t>108.38</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4.08%</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2795.93</w:t>
      </w:r>
      <w:r>
        <w:rPr>
          <w:rFonts w:hint="eastAsia" w:ascii="仿宋_GB2312" w:eastAsia="仿宋_GB2312" w:cs="仿宋_GB2312"/>
          <w:bCs/>
          <w:kern w:val="0"/>
          <w:sz w:val="32"/>
          <w:szCs w:val="32"/>
        </w:rPr>
        <w:t>万元，其中：基本支出</w:t>
      </w:r>
      <w:r>
        <w:rPr>
          <w:rFonts w:hint="eastAsia" w:ascii="仿宋_GB2312" w:eastAsia="仿宋_GB2312" w:cs="仿宋_GB2312"/>
          <w:bCs/>
          <w:kern w:val="0"/>
          <w:sz w:val="32"/>
          <w:szCs w:val="32"/>
          <w:lang w:val="en-US" w:eastAsia="zh-CN"/>
        </w:rPr>
        <w:t>461.28</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16.50</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2334.65</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w:t>
      </w:r>
      <w:r>
        <w:rPr>
          <w:rFonts w:hint="eastAsia" w:ascii="仿宋_GB2312" w:eastAsia="仿宋_GB2312" w:cs="仿宋_GB2312"/>
          <w:bCs/>
          <w:kern w:val="0"/>
          <w:sz w:val="32"/>
          <w:szCs w:val="32"/>
          <w:lang w:val="en-US" w:eastAsia="zh-CN"/>
        </w:rPr>
        <w:t>83.5</w:t>
      </w:r>
      <w:r>
        <w:rPr>
          <w:rFonts w:hint="eastAsia" w:ascii="仿宋_GB2312" w:eastAsia="仿宋_GB2312" w:cs="仿宋_GB2312"/>
          <w:bCs/>
          <w:kern w:val="0"/>
          <w:sz w:val="32"/>
          <w:szCs w:val="32"/>
        </w:rPr>
        <w:t>%；经营支出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ascii="仿宋_GB2312" w:eastAsia="仿宋_GB2312" w:cs="仿宋_GB2312"/>
          <w:b/>
          <w:color w:val="auto"/>
          <w:kern w:val="0"/>
          <w:sz w:val="32"/>
          <w:szCs w:val="32"/>
        </w:rPr>
        <w:t>四、</w:t>
      </w:r>
      <w:r>
        <w:rPr>
          <w:rFonts w:hint="eastAsia" w:eastAsia="仿宋_GB2312"/>
          <w:b/>
          <w:color w:val="auto"/>
          <w:kern w:val="0"/>
          <w:sz w:val="32"/>
          <w:szCs w:val="32"/>
        </w:rPr>
        <w:t>2020</w:t>
      </w:r>
      <w:r>
        <w:rPr>
          <w:rFonts w:hint="eastAsia" w:ascii="仿宋_GB2312" w:eastAsia="仿宋_GB2312" w:cs="仿宋_GB2312"/>
          <w:b/>
          <w:color w:val="auto"/>
          <w:kern w:val="0"/>
          <w:sz w:val="32"/>
          <w:szCs w:val="32"/>
        </w:rPr>
        <w:t>年度财政拨款收入支出决算情况</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本部门2020年度财政拨款收</w:t>
      </w:r>
      <w:r>
        <w:rPr>
          <w:rFonts w:hint="eastAsia" w:ascii="仿宋_GB2312" w:eastAsia="仿宋_GB2312" w:cs="仿宋_GB2312"/>
          <w:bCs/>
          <w:color w:val="auto"/>
          <w:kern w:val="0"/>
          <w:sz w:val="32"/>
          <w:szCs w:val="32"/>
          <w:lang w:eastAsia="zh-CN"/>
        </w:rPr>
        <w:t>、支</w:t>
      </w:r>
      <w:r>
        <w:rPr>
          <w:rFonts w:hint="eastAsia" w:ascii="仿宋_GB2312" w:eastAsia="仿宋_GB2312" w:cs="仿宋_GB2312"/>
          <w:bCs/>
          <w:color w:val="auto"/>
          <w:kern w:val="0"/>
          <w:sz w:val="32"/>
          <w:szCs w:val="32"/>
        </w:rPr>
        <w:t>总决算</w:t>
      </w:r>
      <w:r>
        <w:rPr>
          <w:rFonts w:hint="eastAsia" w:ascii="仿宋_GB2312" w:hAnsi="仿宋" w:eastAsia="仿宋_GB2312"/>
          <w:color w:val="auto"/>
          <w:sz w:val="32"/>
          <w:szCs w:val="32"/>
          <w:lang w:val="en-US" w:eastAsia="zh-CN"/>
        </w:rPr>
        <w:t>2546.35</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lang w:eastAsia="zh-CN"/>
        </w:rPr>
        <w:t>、</w:t>
      </w:r>
      <w:r>
        <w:rPr>
          <w:rFonts w:hint="eastAsia" w:ascii="仿宋_GB2312" w:hAnsi="仿宋" w:eastAsia="仿宋_GB2312"/>
          <w:color w:val="auto"/>
          <w:sz w:val="32"/>
          <w:szCs w:val="32"/>
          <w:lang w:val="en-US" w:eastAsia="zh-CN"/>
        </w:rPr>
        <w:t>2675.61</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与2019年相比，财政拨款收</w:t>
      </w:r>
      <w:r>
        <w:rPr>
          <w:rFonts w:hint="eastAsia" w:ascii="仿宋_GB2312" w:eastAsia="仿宋_GB2312" w:cs="仿宋_GB2312"/>
          <w:bCs/>
          <w:color w:val="auto"/>
          <w:kern w:val="0"/>
          <w:sz w:val="32"/>
          <w:szCs w:val="32"/>
          <w:lang w:eastAsia="zh-CN"/>
        </w:rPr>
        <w:t>、支总计各增加</w:t>
      </w:r>
      <w:r>
        <w:rPr>
          <w:rFonts w:hint="eastAsia" w:ascii="仿宋_GB2312" w:hAnsi="仿宋" w:eastAsia="仿宋_GB2312"/>
          <w:color w:val="auto"/>
          <w:sz w:val="32"/>
          <w:szCs w:val="32"/>
          <w:lang w:val="en-US" w:eastAsia="zh-CN"/>
        </w:rPr>
        <w:t>753.52万元、1235.17</w:t>
      </w:r>
      <w:r>
        <w:rPr>
          <w:rFonts w:hint="eastAsia" w:ascii="仿宋_GB2312" w:eastAsia="仿宋_GB2312" w:cs="仿宋_GB2312"/>
          <w:bCs/>
          <w:color w:val="auto"/>
          <w:kern w:val="0"/>
          <w:sz w:val="32"/>
          <w:szCs w:val="32"/>
        </w:rPr>
        <w:t>万元</w:t>
      </w:r>
      <w:r>
        <w:rPr>
          <w:rFonts w:hint="eastAsia" w:ascii="仿宋_GB2312" w:hAnsi="仿宋" w:eastAsia="仿宋_GB2312"/>
          <w:color w:val="auto"/>
          <w:sz w:val="32"/>
          <w:szCs w:val="32"/>
          <w:lang w:val="en-US" w:eastAsia="zh-CN"/>
        </w:rPr>
        <w:t>，分别增长42.03%、</w:t>
      </w:r>
      <w:r>
        <w:rPr>
          <w:rFonts w:hint="eastAsia" w:ascii="仿宋_GB2312" w:eastAsia="仿宋_GB2312" w:cs="仿宋_GB2312"/>
          <w:bCs/>
          <w:color w:val="auto"/>
          <w:kern w:val="0"/>
          <w:sz w:val="32"/>
          <w:szCs w:val="32"/>
          <w:lang w:val="en-US" w:eastAsia="zh-CN"/>
        </w:rPr>
        <w:t>85.74</w:t>
      </w:r>
      <w:r>
        <w:rPr>
          <w:rFonts w:hint="eastAsia" w:ascii="仿宋_GB2312" w:eastAsia="仿宋_GB2312" w:cs="仿宋_GB2312"/>
          <w:bCs/>
          <w:color w:val="auto"/>
          <w:kern w:val="0"/>
          <w:sz w:val="32"/>
          <w:szCs w:val="32"/>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color w:val="auto"/>
          <w:kern w:val="0"/>
          <w:sz w:val="32"/>
          <w:szCs w:val="32"/>
        </w:rPr>
        <w:t>五、</w:t>
      </w:r>
      <w:r>
        <w:rPr>
          <w:rFonts w:hint="eastAsia" w:eastAsia="仿宋_GB2312"/>
          <w:b/>
          <w:color w:val="auto"/>
          <w:kern w:val="0"/>
          <w:sz w:val="32"/>
          <w:szCs w:val="32"/>
        </w:rPr>
        <w:t>2020年度一般公共预算财政拨款支出决算</w:t>
      </w:r>
      <w:r>
        <w:rPr>
          <w:rFonts w:hint="eastAsia" w:eastAsia="仿宋_GB2312"/>
          <w:b/>
          <w:kern w:val="0"/>
          <w:sz w:val="32"/>
          <w:szCs w:val="32"/>
        </w:rPr>
        <w:t>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部门2020年度财政拨款支出</w:t>
      </w:r>
      <w:r>
        <w:rPr>
          <w:rFonts w:hint="eastAsia" w:ascii="仿宋_GB2312" w:hAnsi="仿宋" w:eastAsia="仿宋_GB2312"/>
          <w:color w:val="auto"/>
          <w:sz w:val="32"/>
          <w:szCs w:val="32"/>
          <w:lang w:val="en-US" w:eastAsia="zh-CN"/>
        </w:rPr>
        <w:t>2675.61</w:t>
      </w:r>
      <w:r>
        <w:rPr>
          <w:rFonts w:hint="eastAsia" w:ascii="仿宋_GB2312" w:eastAsia="仿宋_GB2312" w:cs="仿宋_GB2312"/>
          <w:bCs/>
          <w:color w:val="auto"/>
          <w:kern w:val="0"/>
          <w:sz w:val="32"/>
          <w:szCs w:val="32"/>
        </w:rPr>
        <w:t>万元，占本年支出合计的</w:t>
      </w:r>
      <w:r>
        <w:rPr>
          <w:rFonts w:hint="eastAsia" w:ascii="仿宋_GB2312" w:eastAsia="仿宋_GB2312" w:cs="仿宋_GB2312"/>
          <w:bCs/>
          <w:color w:val="auto"/>
          <w:kern w:val="0"/>
          <w:sz w:val="32"/>
          <w:szCs w:val="32"/>
          <w:lang w:val="en-US" w:eastAsia="zh-CN"/>
        </w:rPr>
        <w:t>95.70</w:t>
      </w:r>
      <w:r>
        <w:rPr>
          <w:rFonts w:hint="eastAsia" w:ascii="仿宋_GB2312" w:eastAsia="仿宋_GB2312" w:cs="仿宋_GB2312"/>
          <w:bCs/>
          <w:color w:val="auto"/>
          <w:kern w:val="0"/>
          <w:sz w:val="32"/>
          <w:szCs w:val="32"/>
        </w:rPr>
        <w:t>%。与2019年相比，财政拨款支出增</w:t>
      </w:r>
      <w:r>
        <w:rPr>
          <w:rFonts w:hint="eastAsia" w:ascii="仿宋_GB2312" w:eastAsia="仿宋_GB2312" w:cs="仿宋_GB2312"/>
          <w:bCs/>
          <w:color w:val="auto"/>
          <w:kern w:val="0"/>
          <w:sz w:val="32"/>
          <w:szCs w:val="32"/>
          <w:lang w:eastAsia="zh-CN"/>
        </w:rPr>
        <w:t>加</w:t>
      </w:r>
      <w:r>
        <w:rPr>
          <w:rFonts w:hint="eastAsia" w:ascii="仿宋_GB2312" w:hAnsi="仿宋" w:eastAsia="仿宋_GB2312"/>
          <w:color w:val="auto"/>
          <w:sz w:val="32"/>
          <w:szCs w:val="32"/>
          <w:lang w:val="en-US" w:eastAsia="zh-CN"/>
        </w:rPr>
        <w:t>1235.16</w:t>
      </w:r>
      <w:r>
        <w:rPr>
          <w:rFonts w:hint="eastAsia" w:ascii="仿宋_GB2312" w:eastAsia="仿宋_GB2312" w:cs="仿宋_GB2312"/>
          <w:bCs/>
          <w:color w:val="auto"/>
          <w:kern w:val="0"/>
          <w:sz w:val="32"/>
          <w:szCs w:val="32"/>
        </w:rPr>
        <w:t>万元，增长</w:t>
      </w:r>
      <w:r>
        <w:rPr>
          <w:rFonts w:hint="eastAsia" w:ascii="仿宋_GB2312" w:eastAsia="仿宋_GB2312" w:cs="仿宋_GB2312"/>
          <w:bCs/>
          <w:color w:val="auto"/>
          <w:kern w:val="0"/>
          <w:sz w:val="32"/>
          <w:szCs w:val="32"/>
          <w:lang w:val="en-US" w:eastAsia="zh-CN"/>
        </w:rPr>
        <w:t>85.75</w:t>
      </w:r>
      <w:r>
        <w:rPr>
          <w:rFonts w:hint="eastAsia" w:ascii="仿宋_GB2312" w:eastAsia="仿宋_GB2312" w:cs="仿宋_GB2312"/>
          <w:bCs/>
          <w:color w:val="auto"/>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2020 年度财政拨款支出</w:t>
      </w:r>
      <w:r>
        <w:rPr>
          <w:rFonts w:hint="eastAsia" w:ascii="仿宋_GB2312" w:eastAsia="仿宋_GB2312" w:cs="仿宋_GB2312"/>
          <w:bCs/>
          <w:kern w:val="0"/>
          <w:sz w:val="32"/>
          <w:szCs w:val="32"/>
          <w:lang w:val="en-US" w:eastAsia="zh-CN"/>
        </w:rPr>
        <w:t>2675.61</w:t>
      </w:r>
      <w:r>
        <w:rPr>
          <w:rFonts w:hint="eastAsia" w:ascii="仿宋_GB2312" w:eastAsia="仿宋_GB2312" w:cs="仿宋_GB2312"/>
          <w:bCs/>
          <w:kern w:val="0"/>
          <w:sz w:val="32"/>
          <w:szCs w:val="32"/>
        </w:rPr>
        <w:t>万元，主要用于以下方面：社会保障和就业支出</w:t>
      </w:r>
      <w:r>
        <w:rPr>
          <w:rFonts w:hint="eastAsia" w:ascii="仿宋_GB2312" w:eastAsia="仿宋_GB2312" w:cs="仿宋_GB2312"/>
          <w:bCs/>
          <w:kern w:val="0"/>
          <w:sz w:val="32"/>
          <w:szCs w:val="32"/>
          <w:lang w:val="en-US" w:eastAsia="zh-CN"/>
        </w:rPr>
        <w:t>64.38</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2.41</w:t>
      </w:r>
      <w:r>
        <w:rPr>
          <w:rFonts w:hint="eastAsia" w:ascii="仿宋_GB2312" w:eastAsia="仿宋_GB2312" w:cs="仿宋_GB2312"/>
          <w:bCs/>
          <w:kern w:val="0"/>
          <w:sz w:val="32"/>
          <w:szCs w:val="32"/>
        </w:rPr>
        <w:t>%；卫生健康支出</w:t>
      </w:r>
      <w:r>
        <w:rPr>
          <w:rFonts w:hint="eastAsia" w:ascii="仿宋_GB2312" w:eastAsia="仿宋_GB2312" w:cs="仿宋_GB2312"/>
          <w:bCs/>
          <w:kern w:val="0"/>
          <w:sz w:val="32"/>
          <w:szCs w:val="32"/>
          <w:lang w:val="en-US" w:eastAsia="zh-CN"/>
        </w:rPr>
        <w:t>18.91</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0.71</w:t>
      </w:r>
      <w:r>
        <w:rPr>
          <w:rFonts w:hint="eastAsia" w:ascii="仿宋_GB2312" w:eastAsia="仿宋_GB2312" w:cs="仿宋_GB2312"/>
          <w:bCs/>
          <w:kern w:val="0"/>
          <w:sz w:val="32"/>
          <w:szCs w:val="32"/>
        </w:rPr>
        <w:t>%；城乡社区支出</w:t>
      </w:r>
      <w:r>
        <w:rPr>
          <w:rFonts w:hint="eastAsia" w:ascii="仿宋_GB2312" w:eastAsia="仿宋_GB2312" w:cs="仿宋_GB2312"/>
          <w:bCs/>
          <w:kern w:val="0"/>
          <w:sz w:val="32"/>
          <w:szCs w:val="32"/>
          <w:lang w:val="en-US" w:eastAsia="zh-CN"/>
        </w:rPr>
        <w:t>2480.06万元，占92.69%；农林水支出75.66万元，占2.83%；</w:t>
      </w:r>
      <w:r>
        <w:rPr>
          <w:rFonts w:hint="eastAsia" w:ascii="仿宋_GB2312" w:eastAsia="仿宋_GB2312" w:cs="仿宋_GB2312"/>
          <w:bCs/>
          <w:kern w:val="0"/>
          <w:sz w:val="32"/>
          <w:szCs w:val="32"/>
        </w:rPr>
        <w:t xml:space="preserve"> 住房保障支出</w:t>
      </w:r>
      <w:r>
        <w:rPr>
          <w:rFonts w:hint="eastAsia" w:ascii="仿宋_GB2312" w:eastAsia="仿宋_GB2312" w:cs="仿宋_GB2312"/>
          <w:bCs/>
          <w:kern w:val="0"/>
          <w:sz w:val="32"/>
          <w:szCs w:val="32"/>
          <w:lang w:val="en-US" w:eastAsia="zh-CN"/>
        </w:rPr>
        <w:t>36.6</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1.37</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eastAsia="仿宋_GB2312" w:cs="仿宋_GB2312"/>
          <w:bCs/>
          <w:color w:val="000000" w:themeColor="text1"/>
          <w:kern w:val="0"/>
          <w:sz w:val="32"/>
          <w:szCs w:val="32"/>
          <w:highlight w:val="none"/>
          <w14:textFill>
            <w14:solidFill>
              <w14:schemeClr w14:val="tx1"/>
            </w14:solidFill>
          </w14:textFill>
        </w:rPr>
        <w:t>（三）财政拨款支出决算具体情况</w:t>
      </w:r>
    </w:p>
    <w:p>
      <w:pPr>
        <w:autoSpaceDE w:val="0"/>
        <w:autoSpaceDN w:val="0"/>
        <w:adjustRightInd w:val="0"/>
        <w:spacing w:line="580" w:lineRule="exact"/>
        <w:ind w:firstLine="640" w:firstLineChars="200"/>
        <w:jc w:val="left"/>
        <w:rPr>
          <w:rFonts w:hint="eastAsia" w:asci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eastAsia="仿宋_GB2312" w:cs="仿宋_GB2312"/>
          <w:bCs/>
          <w:color w:val="000000" w:themeColor="text1"/>
          <w:kern w:val="0"/>
          <w:sz w:val="32"/>
          <w:szCs w:val="32"/>
          <w:highlight w:val="none"/>
          <w14:textFill>
            <w14:solidFill>
              <w14:schemeClr w14:val="tx1"/>
            </w14:solidFill>
          </w14:textFill>
        </w:rPr>
        <w:t xml:space="preserve"> 2020 年度财政拨款支出年初预算为</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1412.09</w:t>
      </w:r>
      <w:r>
        <w:rPr>
          <w:rFonts w:hint="eastAsia" w:ascii="仿宋_GB2312" w:eastAsia="仿宋_GB2312" w:cs="仿宋_GB2312"/>
          <w:bCs/>
          <w:color w:val="000000" w:themeColor="text1"/>
          <w:kern w:val="0"/>
          <w:sz w:val="32"/>
          <w:szCs w:val="32"/>
          <w:highlight w:val="none"/>
          <w14:textFill>
            <w14:solidFill>
              <w14:schemeClr w14:val="tx1"/>
            </w14:solidFill>
          </w14:textFill>
        </w:rPr>
        <w:t>万元，支出决算为</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2675.61</w:t>
      </w:r>
      <w:r>
        <w:rPr>
          <w:rFonts w:hint="eastAsia" w:ascii="仿宋_GB2312" w:eastAsia="仿宋_GB2312" w:cs="仿宋_GB2312"/>
          <w:bCs/>
          <w:color w:val="000000" w:themeColor="text1"/>
          <w:kern w:val="0"/>
          <w:sz w:val="32"/>
          <w:szCs w:val="32"/>
          <w:highlight w:val="none"/>
          <w14:textFill>
            <w14:solidFill>
              <w14:schemeClr w14:val="tx1"/>
            </w14:solidFill>
          </w14:textFill>
        </w:rPr>
        <w:t>万元，完成年初预算的</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189.48</w:t>
      </w:r>
      <w:r>
        <w:rPr>
          <w:rFonts w:hint="eastAsia" w:ascii="仿宋_GB2312" w:eastAsia="仿宋_GB2312" w:cs="仿宋_GB2312"/>
          <w:bCs/>
          <w:color w:val="000000" w:themeColor="text1"/>
          <w:kern w:val="0"/>
          <w:sz w:val="32"/>
          <w:szCs w:val="32"/>
          <w:highlight w:val="none"/>
          <w14:textFill>
            <w14:solidFill>
              <w14:schemeClr w14:val="tx1"/>
            </w14:solidFill>
          </w14:textFill>
        </w:rPr>
        <w:t>%。决算数大于预算数主要原因：一是追加安排财政拨款支出</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预算</w:t>
      </w:r>
      <w:r>
        <w:rPr>
          <w:rFonts w:hint="eastAsia" w:ascii="仿宋_GB2312" w:eastAsia="仿宋_GB2312" w:cs="仿宋_GB2312"/>
          <w:bCs/>
          <w:color w:val="000000" w:themeColor="text1"/>
          <w:kern w:val="0"/>
          <w:sz w:val="32"/>
          <w:szCs w:val="32"/>
          <w:highlight w:val="none"/>
          <w14:textFill>
            <w14:solidFill>
              <w14:schemeClr w14:val="tx1"/>
            </w14:solidFill>
          </w14:textFill>
        </w:rPr>
        <w:t>，涉及项目有林业发展扶持资金</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、广西国有三门江林场生态补偿资金等</w:t>
      </w:r>
      <w:r>
        <w:rPr>
          <w:rFonts w:hint="eastAsia" w:ascii="仿宋_GB2312" w:eastAsia="仿宋_GB2312" w:cs="仿宋_GB2312"/>
          <w:bCs/>
          <w:color w:val="000000" w:themeColor="text1"/>
          <w:kern w:val="0"/>
          <w:sz w:val="32"/>
          <w:szCs w:val="32"/>
          <w:highlight w:val="none"/>
          <w14:textFill>
            <w14:solidFill>
              <w14:schemeClr w14:val="tx1"/>
            </w14:solidFill>
          </w14:textFill>
        </w:rPr>
        <w:t>；二是部分支出按规定，通过使用以前年度财政拨款结转资金解决。</w:t>
      </w:r>
    </w:p>
    <w:p>
      <w:pPr>
        <w:autoSpaceDE w:val="0"/>
        <w:autoSpaceDN w:val="0"/>
        <w:adjustRightInd w:val="0"/>
        <w:spacing w:line="580" w:lineRule="exact"/>
        <w:ind w:firstLine="640" w:firstLineChars="200"/>
        <w:jc w:val="left"/>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pPr>
      <w:r>
        <w:rPr>
          <w:rFonts w:hint="eastAsia" w:ascii="仿宋_GB2312" w:eastAsia="仿宋_GB2312" w:cs="仿宋_GB2312"/>
          <w:bCs/>
          <w:color w:val="000000" w:themeColor="text1"/>
          <w:kern w:val="0"/>
          <w:sz w:val="32"/>
          <w:szCs w:val="32"/>
          <w:highlight w:val="none"/>
          <w14:textFill>
            <w14:solidFill>
              <w14:schemeClr w14:val="tx1"/>
            </w14:solidFill>
          </w14:textFill>
        </w:rPr>
        <w:t>1.社会保障和就业支出（类）行政事业单位养老支出</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（款）机关</w:t>
      </w:r>
      <w:r>
        <w:rPr>
          <w:rFonts w:hint="eastAsia" w:ascii="仿宋_GB2312" w:eastAsia="仿宋_GB2312" w:cs="仿宋_GB2312"/>
          <w:bCs/>
          <w:color w:val="000000" w:themeColor="text1"/>
          <w:kern w:val="0"/>
          <w:sz w:val="32"/>
          <w:szCs w:val="32"/>
          <w:highlight w:val="none"/>
          <w14:textFill>
            <w14:solidFill>
              <w14:schemeClr w14:val="tx1"/>
            </w14:solidFill>
          </w14:textFill>
        </w:rPr>
        <w:t>事业单位养老</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保险缴费支出（项）。</w:t>
      </w:r>
      <w:r>
        <w:rPr>
          <w:rFonts w:hint="eastAsia" w:ascii="仿宋_GB2312" w:eastAsia="仿宋_GB2312" w:cs="仿宋_GB2312"/>
          <w:bCs/>
          <w:color w:val="000000" w:themeColor="text1"/>
          <w:kern w:val="0"/>
          <w:sz w:val="32"/>
          <w:szCs w:val="32"/>
          <w:highlight w:val="none"/>
          <w14:textFill>
            <w14:solidFill>
              <w14:schemeClr w14:val="tx1"/>
            </w14:solidFill>
          </w14:textFill>
        </w:rPr>
        <w:t>年初预算为</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32.08</w:t>
      </w:r>
      <w:r>
        <w:rPr>
          <w:rFonts w:hint="eastAsia" w:ascii="仿宋_GB2312" w:eastAsia="仿宋_GB2312" w:cs="仿宋_GB2312"/>
          <w:bCs/>
          <w:color w:val="000000" w:themeColor="text1"/>
          <w:kern w:val="0"/>
          <w:sz w:val="32"/>
          <w:szCs w:val="32"/>
          <w:highlight w:val="none"/>
          <w14:textFill>
            <w14:solidFill>
              <w14:schemeClr w14:val="tx1"/>
            </w14:solidFill>
          </w14:textFill>
        </w:rPr>
        <w:t>万元，支出决算为</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46.7</w:t>
      </w:r>
      <w:r>
        <w:rPr>
          <w:rFonts w:hint="eastAsia" w:ascii="仿宋_GB2312" w:eastAsia="仿宋_GB2312" w:cs="仿宋_GB2312"/>
          <w:bCs/>
          <w:color w:val="000000" w:themeColor="text1"/>
          <w:kern w:val="0"/>
          <w:sz w:val="32"/>
          <w:szCs w:val="32"/>
          <w:highlight w:val="none"/>
          <w14:textFill>
            <w14:solidFill>
              <w14:schemeClr w14:val="tx1"/>
            </w14:solidFill>
          </w14:textFill>
        </w:rPr>
        <w:t>万元，完成年初预算的</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145.57</w:t>
      </w:r>
      <w:r>
        <w:rPr>
          <w:rFonts w:hint="eastAsia" w:ascii="仿宋_GB2312" w:eastAsia="仿宋_GB2312" w:cs="仿宋_GB2312"/>
          <w:bCs/>
          <w:color w:val="000000" w:themeColor="text1"/>
          <w:kern w:val="0"/>
          <w:sz w:val="32"/>
          <w:szCs w:val="32"/>
          <w:highlight w:val="none"/>
          <w14:textFill>
            <w14:solidFill>
              <w14:schemeClr w14:val="tx1"/>
            </w14:solidFill>
          </w14:textFill>
        </w:rPr>
        <w:t>%。决算数大于预算数的主要原因是</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年中</w:t>
      </w:r>
      <w:r>
        <w:rPr>
          <w:rFonts w:hint="eastAsia" w:ascii="仿宋_GB2312" w:eastAsia="仿宋_GB2312" w:cs="仿宋_GB2312"/>
          <w:bCs/>
          <w:color w:val="000000" w:themeColor="text1"/>
          <w:kern w:val="0"/>
          <w:sz w:val="32"/>
          <w:szCs w:val="32"/>
          <w:highlight w:val="none"/>
          <w14:textFill>
            <w14:solidFill>
              <w14:schemeClr w14:val="tx1"/>
            </w14:solidFill>
          </w14:textFill>
        </w:rPr>
        <w:t>预算追加，主要涉及人员变动经费</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w:t>
      </w:r>
    </w:p>
    <w:p>
      <w:pPr>
        <w:autoSpaceDE w:val="0"/>
        <w:autoSpaceDN w:val="0"/>
        <w:adjustRightInd w:val="0"/>
        <w:spacing w:line="580" w:lineRule="exact"/>
        <w:ind w:firstLine="640" w:firstLineChars="200"/>
        <w:jc w:val="left"/>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pP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2</w:t>
      </w:r>
      <w:r>
        <w:rPr>
          <w:rFonts w:hint="eastAsia" w:ascii="仿宋_GB2312" w:eastAsia="仿宋_GB2312" w:cs="仿宋_GB2312"/>
          <w:bCs/>
          <w:color w:val="000000" w:themeColor="text1"/>
          <w:kern w:val="0"/>
          <w:sz w:val="32"/>
          <w:szCs w:val="32"/>
          <w:highlight w:val="none"/>
          <w14:textFill>
            <w14:solidFill>
              <w14:schemeClr w14:val="tx1"/>
            </w14:solidFill>
          </w14:textFill>
        </w:rPr>
        <w:t>.社会保障和就业支出（类）行政事业单位养老支出</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（款）机关事业单位职业年金缴费支出（项）。</w:t>
      </w:r>
      <w:r>
        <w:rPr>
          <w:rFonts w:hint="eastAsia" w:ascii="仿宋_GB2312" w:eastAsia="仿宋_GB2312" w:cs="仿宋_GB2312"/>
          <w:bCs/>
          <w:color w:val="000000" w:themeColor="text1"/>
          <w:kern w:val="0"/>
          <w:sz w:val="32"/>
          <w:szCs w:val="32"/>
          <w:highlight w:val="none"/>
          <w14:textFill>
            <w14:solidFill>
              <w14:schemeClr w14:val="tx1"/>
            </w14:solidFill>
          </w14:textFill>
        </w:rPr>
        <w:t>年初预算为</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16.04</w:t>
      </w:r>
      <w:r>
        <w:rPr>
          <w:rFonts w:hint="eastAsia" w:ascii="仿宋_GB2312" w:eastAsia="仿宋_GB2312" w:cs="仿宋_GB2312"/>
          <w:bCs/>
          <w:color w:val="000000" w:themeColor="text1"/>
          <w:kern w:val="0"/>
          <w:sz w:val="32"/>
          <w:szCs w:val="32"/>
          <w:highlight w:val="none"/>
          <w14:textFill>
            <w14:solidFill>
              <w14:schemeClr w14:val="tx1"/>
            </w14:solidFill>
          </w14:textFill>
        </w:rPr>
        <w:t>万元，支出决算为</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17.67</w:t>
      </w:r>
      <w:r>
        <w:rPr>
          <w:rFonts w:hint="eastAsia" w:ascii="仿宋_GB2312" w:eastAsia="仿宋_GB2312" w:cs="仿宋_GB2312"/>
          <w:bCs/>
          <w:color w:val="000000" w:themeColor="text1"/>
          <w:kern w:val="0"/>
          <w:sz w:val="32"/>
          <w:szCs w:val="32"/>
          <w:highlight w:val="none"/>
          <w14:textFill>
            <w14:solidFill>
              <w14:schemeClr w14:val="tx1"/>
            </w14:solidFill>
          </w14:textFill>
        </w:rPr>
        <w:t>万元，完成年初预算</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110.16</w:t>
      </w:r>
      <w:r>
        <w:rPr>
          <w:rFonts w:hint="eastAsia" w:ascii="仿宋_GB2312" w:eastAsia="仿宋_GB2312" w:cs="仿宋_GB2312"/>
          <w:bCs/>
          <w:color w:val="000000" w:themeColor="text1"/>
          <w:kern w:val="0"/>
          <w:sz w:val="32"/>
          <w:szCs w:val="32"/>
          <w:highlight w:val="none"/>
          <w14:textFill>
            <w14:solidFill>
              <w14:schemeClr w14:val="tx1"/>
            </w14:solidFill>
          </w14:textFill>
        </w:rPr>
        <w:t>%。决算数大于预算数的主要原因是</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年中</w:t>
      </w:r>
      <w:r>
        <w:rPr>
          <w:rFonts w:hint="eastAsia" w:ascii="仿宋_GB2312" w:eastAsia="仿宋_GB2312" w:cs="仿宋_GB2312"/>
          <w:bCs/>
          <w:color w:val="000000" w:themeColor="text1"/>
          <w:kern w:val="0"/>
          <w:sz w:val="32"/>
          <w:szCs w:val="32"/>
          <w:highlight w:val="none"/>
          <w14:textFill>
            <w14:solidFill>
              <w14:schemeClr w14:val="tx1"/>
            </w14:solidFill>
          </w14:textFill>
        </w:rPr>
        <w:t>预算追加，主要涉及人员变动经费</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w:t>
      </w:r>
    </w:p>
    <w:p>
      <w:pPr>
        <w:autoSpaceDE w:val="0"/>
        <w:autoSpaceDN w:val="0"/>
        <w:adjustRightInd w:val="0"/>
        <w:spacing w:line="580" w:lineRule="exact"/>
        <w:ind w:firstLine="640" w:firstLineChars="200"/>
        <w:jc w:val="left"/>
        <w:rPr>
          <w:rFonts w:hint="eastAsia" w:asci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3</w:t>
      </w:r>
      <w:r>
        <w:rPr>
          <w:rFonts w:hint="eastAsia" w:ascii="仿宋_GB2312" w:eastAsia="仿宋_GB2312" w:cs="仿宋_GB2312"/>
          <w:bCs/>
          <w:color w:val="000000" w:themeColor="text1"/>
          <w:kern w:val="0"/>
          <w:sz w:val="32"/>
          <w:szCs w:val="32"/>
          <w:highlight w:val="none"/>
          <w14:textFill>
            <w14:solidFill>
              <w14:schemeClr w14:val="tx1"/>
            </w14:solidFill>
          </w14:textFill>
        </w:rPr>
        <w:t>.卫生健康支出（类）行政事业单位医疗</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（款）</w:t>
      </w:r>
      <w:r>
        <w:rPr>
          <w:rFonts w:hint="eastAsia" w:ascii="仿宋_GB2312" w:eastAsia="仿宋_GB2312" w:cs="仿宋_GB2312"/>
          <w:bCs/>
          <w:color w:val="000000" w:themeColor="text1"/>
          <w:kern w:val="0"/>
          <w:sz w:val="32"/>
          <w:szCs w:val="32"/>
          <w:highlight w:val="none"/>
          <w14:textFill>
            <w14:solidFill>
              <w14:schemeClr w14:val="tx1"/>
            </w14:solidFill>
          </w14:textFill>
        </w:rPr>
        <w:t>事业单位医疗</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（项）。</w:t>
      </w:r>
      <w:r>
        <w:rPr>
          <w:rFonts w:hint="eastAsia" w:ascii="仿宋_GB2312" w:eastAsia="仿宋_GB2312" w:cs="仿宋_GB2312"/>
          <w:bCs/>
          <w:color w:val="000000" w:themeColor="text1"/>
          <w:kern w:val="0"/>
          <w:sz w:val="32"/>
          <w:szCs w:val="32"/>
          <w:highlight w:val="none"/>
          <w14:textFill>
            <w14:solidFill>
              <w14:schemeClr w14:val="tx1"/>
            </w14:solidFill>
          </w14:textFill>
        </w:rPr>
        <w:t>年初预算为</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15.21</w:t>
      </w:r>
      <w:r>
        <w:rPr>
          <w:rFonts w:hint="eastAsia" w:ascii="仿宋_GB2312" w:eastAsia="仿宋_GB2312" w:cs="仿宋_GB2312"/>
          <w:bCs/>
          <w:color w:val="000000" w:themeColor="text1"/>
          <w:kern w:val="0"/>
          <w:sz w:val="32"/>
          <w:szCs w:val="32"/>
          <w:highlight w:val="none"/>
          <w14:textFill>
            <w14:solidFill>
              <w14:schemeClr w14:val="tx1"/>
            </w14:solidFill>
          </w14:textFill>
        </w:rPr>
        <w:t>万元，支出决算为</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18.91</w:t>
      </w:r>
      <w:r>
        <w:rPr>
          <w:rFonts w:hint="eastAsia" w:ascii="仿宋_GB2312" w:eastAsia="仿宋_GB2312" w:cs="仿宋_GB2312"/>
          <w:bCs/>
          <w:color w:val="000000" w:themeColor="text1"/>
          <w:kern w:val="0"/>
          <w:sz w:val="32"/>
          <w:szCs w:val="32"/>
          <w:highlight w:val="none"/>
          <w14:textFill>
            <w14:solidFill>
              <w14:schemeClr w14:val="tx1"/>
            </w14:solidFill>
          </w14:textFill>
        </w:rPr>
        <w:t>万元，完成年初预算的</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124.33</w:t>
      </w:r>
      <w:r>
        <w:rPr>
          <w:rFonts w:hint="eastAsia" w:ascii="仿宋_GB2312" w:eastAsia="仿宋_GB2312" w:cs="仿宋_GB2312"/>
          <w:bCs/>
          <w:color w:val="000000" w:themeColor="text1"/>
          <w:kern w:val="0"/>
          <w:sz w:val="32"/>
          <w:szCs w:val="32"/>
          <w:highlight w:val="none"/>
          <w14:textFill>
            <w14:solidFill>
              <w14:schemeClr w14:val="tx1"/>
            </w14:solidFill>
          </w14:textFill>
        </w:rPr>
        <w:t>%。决算数大于预算数的主要原因</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是年中预算追加，主要涉及人员变动经费</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w:t>
      </w:r>
    </w:p>
    <w:p>
      <w:pPr>
        <w:autoSpaceDE w:val="0"/>
        <w:autoSpaceDN w:val="0"/>
        <w:adjustRightInd w:val="0"/>
        <w:spacing w:line="580" w:lineRule="exact"/>
        <w:ind w:firstLine="640" w:firstLineChars="200"/>
        <w:jc w:val="left"/>
        <w:rPr>
          <w:rFonts w:hint="default" w:ascii="仿宋_GB2312" w:eastAsia="仿宋_GB2312" w:cs="仿宋_GB2312"/>
          <w:bCs/>
          <w:color w:val="000000" w:themeColor="text1"/>
          <w:kern w:val="0"/>
          <w:sz w:val="32"/>
          <w:szCs w:val="32"/>
          <w:highlight w:val="none"/>
          <w:lang w:val="en-US" w:eastAsia="zh-CN"/>
          <w14:textFill>
            <w14:solidFill>
              <w14:schemeClr w14:val="tx1"/>
            </w14:solidFill>
          </w14:textFill>
        </w:rPr>
      </w:pP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4</w:t>
      </w:r>
      <w:r>
        <w:rPr>
          <w:rFonts w:hint="eastAsia" w:ascii="仿宋_GB2312" w:eastAsia="仿宋_GB2312" w:cs="仿宋_GB2312"/>
          <w:bCs/>
          <w:color w:val="000000" w:themeColor="text1"/>
          <w:kern w:val="0"/>
          <w:sz w:val="32"/>
          <w:szCs w:val="32"/>
          <w:highlight w:val="none"/>
          <w14:textFill>
            <w14:solidFill>
              <w14:schemeClr w14:val="tx1"/>
            </w14:solidFill>
          </w14:textFill>
        </w:rPr>
        <w:t>.城乡社区支出（类）城乡社区规划与管理</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（款）城乡社区规划与管理（项）。年初预算数为</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0万元，支出决算为29.77万元。决算数大于预算数的主要原因是上半年追加预算，资金用于柳州市莲花山保护区域生态保护修复专项规划经费。</w:t>
      </w:r>
    </w:p>
    <w:p>
      <w:pPr>
        <w:autoSpaceDE w:val="0"/>
        <w:autoSpaceDN w:val="0"/>
        <w:adjustRightInd w:val="0"/>
        <w:spacing w:line="580" w:lineRule="exact"/>
        <w:ind w:firstLine="640" w:firstLineChars="200"/>
        <w:jc w:val="left"/>
        <w:rPr>
          <w:rFonts w:hint="eastAsia" w:asci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5.</w:t>
      </w:r>
      <w:r>
        <w:rPr>
          <w:rFonts w:hint="eastAsia" w:ascii="仿宋_GB2312" w:eastAsia="仿宋_GB2312" w:cs="仿宋_GB2312"/>
          <w:bCs/>
          <w:color w:val="000000" w:themeColor="text1"/>
          <w:kern w:val="0"/>
          <w:sz w:val="32"/>
          <w:szCs w:val="32"/>
          <w:highlight w:val="none"/>
          <w14:textFill>
            <w14:solidFill>
              <w14:schemeClr w14:val="tx1"/>
            </w14:solidFill>
          </w14:textFill>
        </w:rPr>
        <w:t>城乡社区支出（类）</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城乡社区环境卫生</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（款）城乡社区环境卫生（项）。年初</w:t>
      </w:r>
      <w:r>
        <w:rPr>
          <w:rFonts w:hint="eastAsia" w:ascii="仿宋_GB2312" w:eastAsia="仿宋_GB2312" w:cs="仿宋_GB2312"/>
          <w:bCs/>
          <w:color w:val="000000" w:themeColor="text1"/>
          <w:kern w:val="0"/>
          <w:sz w:val="32"/>
          <w:szCs w:val="32"/>
          <w:highlight w:val="none"/>
          <w14:textFill>
            <w14:solidFill>
              <w14:schemeClr w14:val="tx1"/>
            </w14:solidFill>
          </w14:textFill>
        </w:rPr>
        <w:t>预算为</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1342.43</w:t>
      </w:r>
      <w:r>
        <w:rPr>
          <w:rFonts w:hint="eastAsia" w:ascii="仿宋_GB2312" w:eastAsia="仿宋_GB2312" w:cs="仿宋_GB2312"/>
          <w:bCs/>
          <w:color w:val="000000" w:themeColor="text1"/>
          <w:kern w:val="0"/>
          <w:sz w:val="32"/>
          <w:szCs w:val="32"/>
          <w:highlight w:val="none"/>
          <w14:textFill>
            <w14:solidFill>
              <w14:schemeClr w14:val="tx1"/>
            </w14:solidFill>
          </w14:textFill>
        </w:rPr>
        <w:t>万元，支出决算为</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1441.78</w:t>
      </w:r>
      <w:r>
        <w:rPr>
          <w:rFonts w:hint="eastAsia" w:ascii="仿宋_GB2312" w:eastAsia="仿宋_GB2312" w:cs="仿宋_GB2312"/>
          <w:bCs/>
          <w:color w:val="000000" w:themeColor="text1"/>
          <w:kern w:val="0"/>
          <w:sz w:val="32"/>
          <w:szCs w:val="32"/>
          <w:highlight w:val="none"/>
          <w14:textFill>
            <w14:solidFill>
              <w14:schemeClr w14:val="tx1"/>
            </w14:solidFill>
          </w14:textFill>
        </w:rPr>
        <w:t>万元，完成年初预算的</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107.4</w:t>
      </w:r>
      <w:r>
        <w:rPr>
          <w:rFonts w:hint="eastAsia" w:ascii="仿宋_GB2312" w:eastAsia="仿宋_GB2312" w:cs="仿宋_GB2312"/>
          <w:bCs/>
          <w:color w:val="000000" w:themeColor="text1"/>
          <w:kern w:val="0"/>
          <w:sz w:val="32"/>
          <w:szCs w:val="32"/>
          <w:highlight w:val="none"/>
          <w14:textFill>
            <w14:solidFill>
              <w14:schemeClr w14:val="tx1"/>
            </w14:solidFill>
          </w14:textFill>
        </w:rPr>
        <w:t>%。决算数大于预算数的主要原因是</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年中</w:t>
      </w:r>
      <w:r>
        <w:rPr>
          <w:rFonts w:hint="eastAsia" w:ascii="仿宋_GB2312" w:eastAsia="仿宋_GB2312" w:cs="仿宋_GB2312"/>
          <w:bCs/>
          <w:color w:val="000000" w:themeColor="text1"/>
          <w:kern w:val="0"/>
          <w:sz w:val="32"/>
          <w:szCs w:val="32"/>
          <w:highlight w:val="none"/>
          <w14:textFill>
            <w14:solidFill>
              <w14:schemeClr w14:val="tx1"/>
            </w14:solidFill>
          </w14:textFill>
        </w:rPr>
        <w:t>预算追加，主要涉及人员变动经费</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等</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，以及使用上年结转结余。</w:t>
      </w:r>
    </w:p>
    <w:p>
      <w:pPr>
        <w:autoSpaceDE w:val="0"/>
        <w:autoSpaceDN w:val="0"/>
        <w:adjustRightInd w:val="0"/>
        <w:spacing w:line="580" w:lineRule="exact"/>
        <w:ind w:firstLine="640" w:firstLineChars="200"/>
        <w:jc w:val="left"/>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pP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6.</w:t>
      </w:r>
      <w:r>
        <w:rPr>
          <w:rFonts w:hint="eastAsia" w:ascii="仿宋_GB2312" w:eastAsia="仿宋_GB2312" w:cs="仿宋_GB2312"/>
          <w:bCs/>
          <w:color w:val="000000" w:themeColor="text1"/>
          <w:kern w:val="0"/>
          <w:sz w:val="32"/>
          <w:szCs w:val="32"/>
          <w:highlight w:val="none"/>
          <w14:textFill>
            <w14:solidFill>
              <w14:schemeClr w14:val="tx1"/>
            </w14:solidFill>
          </w14:textFill>
        </w:rPr>
        <w:t>城乡社区支出（类）</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其他城乡社区支出</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（款）其他城乡社区支出（项）。年初</w:t>
      </w:r>
      <w:r>
        <w:rPr>
          <w:rFonts w:hint="eastAsia" w:ascii="仿宋_GB2312" w:eastAsia="仿宋_GB2312" w:cs="仿宋_GB2312"/>
          <w:bCs/>
          <w:color w:val="000000" w:themeColor="text1"/>
          <w:kern w:val="0"/>
          <w:sz w:val="32"/>
          <w:szCs w:val="32"/>
          <w:highlight w:val="none"/>
          <w14:textFill>
            <w14:solidFill>
              <w14:schemeClr w14:val="tx1"/>
            </w14:solidFill>
          </w14:textFill>
        </w:rPr>
        <w:t>预算为</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0</w:t>
      </w:r>
      <w:r>
        <w:rPr>
          <w:rFonts w:hint="eastAsia" w:ascii="仿宋_GB2312" w:eastAsia="仿宋_GB2312" w:cs="仿宋_GB2312"/>
          <w:bCs/>
          <w:color w:val="000000" w:themeColor="text1"/>
          <w:kern w:val="0"/>
          <w:sz w:val="32"/>
          <w:szCs w:val="32"/>
          <w:highlight w:val="none"/>
          <w14:textFill>
            <w14:solidFill>
              <w14:schemeClr w14:val="tx1"/>
            </w14:solidFill>
          </w14:textFill>
        </w:rPr>
        <w:t>万元，支出决算为</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1008.51万元。决算数大于预算数的主要原因是年底追加预算，</w:t>
      </w:r>
      <w:r>
        <w:rPr>
          <w:rFonts w:hint="eastAsia" w:ascii="仿宋_GB2312" w:eastAsia="仿宋_GB2312" w:cs="仿宋_GB2312"/>
          <w:bCs/>
          <w:color w:val="000000" w:themeColor="text1"/>
          <w:kern w:val="0"/>
          <w:sz w:val="32"/>
          <w:szCs w:val="32"/>
          <w:highlight w:val="none"/>
          <w14:textFill>
            <w14:solidFill>
              <w14:schemeClr w14:val="tx1"/>
            </w14:solidFill>
          </w14:textFill>
        </w:rPr>
        <w:t>涉及项目有林业发展扶持资金</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、广西国有三门江林场生态补偿资金等。</w:t>
      </w:r>
    </w:p>
    <w:p>
      <w:pPr>
        <w:autoSpaceDE w:val="0"/>
        <w:autoSpaceDN w:val="0"/>
        <w:adjustRightInd w:val="0"/>
        <w:spacing w:line="580" w:lineRule="exact"/>
        <w:ind w:firstLine="640" w:firstLineChars="200"/>
        <w:jc w:val="left"/>
        <w:rPr>
          <w:rFonts w:hint="default" w:ascii="仿宋_GB2312" w:eastAsia="仿宋_GB2312" w:cs="仿宋_GB2312"/>
          <w:bCs/>
          <w:color w:val="000000" w:themeColor="text1"/>
          <w:kern w:val="0"/>
          <w:sz w:val="32"/>
          <w:szCs w:val="32"/>
          <w:highlight w:val="none"/>
          <w:lang w:val="en-US"/>
          <w14:textFill>
            <w14:solidFill>
              <w14:schemeClr w14:val="tx1"/>
            </w14:solidFill>
          </w14:textFill>
        </w:rPr>
      </w:pP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7.农林水支出</w:t>
      </w:r>
      <w:r>
        <w:rPr>
          <w:rFonts w:hint="eastAsia" w:ascii="仿宋_GB2312" w:eastAsia="仿宋_GB2312" w:cs="仿宋_GB2312"/>
          <w:bCs/>
          <w:color w:val="000000" w:themeColor="text1"/>
          <w:kern w:val="0"/>
          <w:sz w:val="32"/>
          <w:szCs w:val="32"/>
          <w:highlight w:val="none"/>
          <w14:textFill>
            <w14:solidFill>
              <w14:schemeClr w14:val="tx1"/>
            </w14:solidFill>
          </w14:textFill>
        </w:rPr>
        <w:t>（类）</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林业和草原</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（款）</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森林资源管理</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（项）。</w:t>
      </w:r>
      <w:r>
        <w:rPr>
          <w:rFonts w:hint="eastAsia" w:ascii="仿宋_GB2312" w:eastAsia="仿宋_GB2312" w:cs="仿宋_GB2312"/>
          <w:bCs/>
          <w:color w:val="000000" w:themeColor="text1"/>
          <w:kern w:val="0"/>
          <w:sz w:val="32"/>
          <w:szCs w:val="32"/>
          <w:highlight w:val="none"/>
          <w14:textFill>
            <w14:solidFill>
              <w14:schemeClr w14:val="tx1"/>
            </w14:solidFill>
          </w14:textFill>
        </w:rPr>
        <w:t>年初预算为</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0.27</w:t>
      </w:r>
      <w:r>
        <w:rPr>
          <w:rFonts w:hint="eastAsia" w:ascii="仿宋_GB2312" w:eastAsia="仿宋_GB2312" w:cs="仿宋_GB2312"/>
          <w:bCs/>
          <w:color w:val="000000" w:themeColor="text1"/>
          <w:kern w:val="0"/>
          <w:sz w:val="32"/>
          <w:szCs w:val="32"/>
          <w:highlight w:val="none"/>
          <w14:textFill>
            <w14:solidFill>
              <w14:schemeClr w14:val="tx1"/>
            </w14:solidFill>
          </w14:textFill>
        </w:rPr>
        <w:t>万元，支出决算为</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0.27万元，完成年初预算的100%。决算数等于预算数。</w:t>
      </w:r>
    </w:p>
    <w:p>
      <w:pPr>
        <w:autoSpaceDE w:val="0"/>
        <w:autoSpaceDN w:val="0"/>
        <w:adjustRightInd w:val="0"/>
        <w:spacing w:line="580" w:lineRule="exact"/>
        <w:ind w:firstLine="640" w:firstLineChars="200"/>
        <w:jc w:val="left"/>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pP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8.农林水支出</w:t>
      </w:r>
      <w:r>
        <w:rPr>
          <w:rFonts w:hint="eastAsia" w:ascii="仿宋_GB2312" w:eastAsia="仿宋_GB2312" w:cs="仿宋_GB2312"/>
          <w:bCs/>
          <w:color w:val="000000" w:themeColor="text1"/>
          <w:kern w:val="0"/>
          <w:sz w:val="32"/>
          <w:szCs w:val="32"/>
          <w:highlight w:val="none"/>
          <w14:textFill>
            <w14:solidFill>
              <w14:schemeClr w14:val="tx1"/>
            </w14:solidFill>
          </w14:textFill>
        </w:rPr>
        <w:t>（类）</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林业和草原</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（款）其他林业和草原（项）。</w:t>
      </w:r>
      <w:r>
        <w:rPr>
          <w:rFonts w:hint="eastAsia" w:ascii="仿宋_GB2312" w:eastAsia="仿宋_GB2312" w:cs="仿宋_GB2312"/>
          <w:bCs/>
          <w:color w:val="000000" w:themeColor="text1"/>
          <w:kern w:val="0"/>
          <w:sz w:val="32"/>
          <w:szCs w:val="32"/>
          <w:highlight w:val="none"/>
          <w14:textFill>
            <w14:solidFill>
              <w14:schemeClr w14:val="tx1"/>
            </w14:solidFill>
          </w14:textFill>
        </w:rPr>
        <w:t>年初预算为</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0</w:t>
      </w:r>
      <w:r>
        <w:rPr>
          <w:rFonts w:hint="eastAsia" w:ascii="仿宋_GB2312" w:eastAsia="仿宋_GB2312" w:cs="仿宋_GB2312"/>
          <w:bCs/>
          <w:color w:val="000000" w:themeColor="text1"/>
          <w:kern w:val="0"/>
          <w:sz w:val="32"/>
          <w:szCs w:val="32"/>
          <w:highlight w:val="none"/>
          <w14:textFill>
            <w14:solidFill>
              <w14:schemeClr w14:val="tx1"/>
            </w14:solidFill>
          </w14:textFill>
        </w:rPr>
        <w:t>万元，</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支出</w:t>
      </w:r>
      <w:r>
        <w:rPr>
          <w:rFonts w:hint="eastAsia" w:ascii="仿宋_GB2312" w:eastAsia="仿宋_GB2312" w:cs="仿宋_GB2312"/>
          <w:bCs/>
          <w:color w:val="000000" w:themeColor="text1"/>
          <w:kern w:val="0"/>
          <w:sz w:val="32"/>
          <w:szCs w:val="32"/>
          <w:highlight w:val="none"/>
          <w14:textFill>
            <w14:solidFill>
              <w14:schemeClr w14:val="tx1"/>
            </w14:solidFill>
          </w14:textFill>
        </w:rPr>
        <w:t>支出决算为</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75.39万元</w:t>
      </w:r>
      <w:r>
        <w:rPr>
          <w:rFonts w:hint="eastAsia" w:ascii="仿宋_GB2312" w:eastAsia="仿宋_GB2312" w:cs="仿宋_GB2312"/>
          <w:bCs/>
          <w:color w:val="000000" w:themeColor="text1"/>
          <w:kern w:val="0"/>
          <w:sz w:val="32"/>
          <w:szCs w:val="32"/>
          <w:highlight w:val="none"/>
          <w14:textFill>
            <w14:solidFill>
              <w14:schemeClr w14:val="tx1"/>
            </w14:solidFill>
          </w14:textFill>
        </w:rPr>
        <w:t>。决算数大于预算数的主要原因是</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下半年</w:t>
      </w:r>
      <w:r>
        <w:rPr>
          <w:rFonts w:hint="eastAsia" w:ascii="仿宋_GB2312" w:eastAsia="仿宋_GB2312" w:cs="仿宋_GB2312"/>
          <w:bCs/>
          <w:color w:val="000000" w:themeColor="text1"/>
          <w:kern w:val="0"/>
          <w:sz w:val="32"/>
          <w:szCs w:val="32"/>
          <w:highlight w:val="none"/>
          <w14:textFill>
            <w14:solidFill>
              <w14:schemeClr w14:val="tx1"/>
            </w14:solidFill>
          </w14:textFill>
        </w:rPr>
        <w:t>追加</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预算，涉及项目有莲花山保护范围人文资源调查工作经费，以及使用</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上年结转结余。</w:t>
      </w:r>
    </w:p>
    <w:p>
      <w:pPr>
        <w:autoSpaceDE w:val="0"/>
        <w:autoSpaceDN w:val="0"/>
        <w:adjustRightInd w:val="0"/>
        <w:spacing w:line="580" w:lineRule="exact"/>
        <w:ind w:firstLine="640" w:firstLineChars="200"/>
        <w:jc w:val="left"/>
        <w:rPr>
          <w:rFonts w:hint="default" w:ascii="仿宋_GB2312" w:eastAsia="仿宋_GB2312" w:cs="仿宋_GB2312"/>
          <w:bCs/>
          <w:color w:val="000000" w:themeColor="text1"/>
          <w:kern w:val="0"/>
          <w:sz w:val="32"/>
          <w:szCs w:val="32"/>
          <w:highlight w:val="none"/>
          <w:lang w:val="en-US" w:eastAsia="zh-CN"/>
          <w14:textFill>
            <w14:solidFill>
              <w14:schemeClr w14:val="tx1"/>
            </w14:solidFill>
          </w14:textFill>
        </w:rPr>
      </w:pP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9.</w:t>
      </w:r>
      <w:r>
        <w:rPr>
          <w:rFonts w:hint="eastAsia" w:ascii="仿宋_GB2312" w:eastAsia="仿宋_GB2312" w:cs="仿宋_GB2312"/>
          <w:bCs/>
          <w:color w:val="000000" w:themeColor="text1"/>
          <w:kern w:val="0"/>
          <w:sz w:val="32"/>
          <w:szCs w:val="32"/>
          <w:highlight w:val="none"/>
          <w14:textFill>
            <w14:solidFill>
              <w14:schemeClr w14:val="tx1"/>
            </w14:solidFill>
          </w14:textFill>
        </w:rPr>
        <w:t>住房保障支出（类）</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住房改革支出（款）住房公积金（项）。</w:t>
      </w:r>
      <w:r>
        <w:rPr>
          <w:rFonts w:hint="eastAsia" w:ascii="仿宋_GB2312" w:eastAsia="仿宋_GB2312" w:cs="仿宋_GB2312"/>
          <w:bCs/>
          <w:color w:val="000000" w:themeColor="text1"/>
          <w:kern w:val="0"/>
          <w:sz w:val="32"/>
          <w:szCs w:val="32"/>
          <w:highlight w:val="none"/>
          <w14:textFill>
            <w14:solidFill>
              <w14:schemeClr w14:val="tx1"/>
            </w14:solidFill>
          </w14:textFill>
        </w:rPr>
        <w:t>年初预算为</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24.06</w:t>
      </w:r>
      <w:r>
        <w:rPr>
          <w:rFonts w:hint="eastAsia" w:ascii="仿宋_GB2312" w:eastAsia="仿宋_GB2312" w:cs="仿宋_GB2312"/>
          <w:bCs/>
          <w:color w:val="000000" w:themeColor="text1"/>
          <w:kern w:val="0"/>
          <w:sz w:val="32"/>
          <w:szCs w:val="32"/>
          <w:highlight w:val="none"/>
          <w14:textFill>
            <w14:solidFill>
              <w14:schemeClr w14:val="tx1"/>
            </w14:solidFill>
          </w14:textFill>
        </w:rPr>
        <w:t>万元，支出决算为</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36.6</w:t>
      </w:r>
      <w:r>
        <w:rPr>
          <w:rFonts w:hint="eastAsia" w:ascii="仿宋_GB2312" w:eastAsia="仿宋_GB2312" w:cs="仿宋_GB2312"/>
          <w:bCs/>
          <w:color w:val="000000" w:themeColor="text1"/>
          <w:kern w:val="0"/>
          <w:sz w:val="32"/>
          <w:szCs w:val="32"/>
          <w:highlight w:val="none"/>
          <w14:textFill>
            <w14:solidFill>
              <w14:schemeClr w14:val="tx1"/>
            </w14:solidFill>
          </w14:textFill>
        </w:rPr>
        <w:t>万元，完成年初预算的</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152.12</w:t>
      </w:r>
      <w:r>
        <w:rPr>
          <w:rFonts w:hint="eastAsia" w:ascii="仿宋_GB2312" w:eastAsia="仿宋_GB2312" w:cs="仿宋_GB2312"/>
          <w:bCs/>
          <w:color w:val="000000" w:themeColor="text1"/>
          <w:kern w:val="0"/>
          <w:sz w:val="32"/>
          <w:szCs w:val="32"/>
          <w:highlight w:val="none"/>
          <w14:textFill>
            <w14:solidFill>
              <w14:schemeClr w14:val="tx1"/>
            </w14:solidFill>
          </w14:textFill>
        </w:rPr>
        <w:t>%。决算数大于预算数的主要原因是</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年中</w:t>
      </w:r>
      <w:r>
        <w:rPr>
          <w:rFonts w:hint="eastAsia" w:ascii="仿宋_GB2312" w:eastAsia="仿宋_GB2312" w:cs="仿宋_GB2312"/>
          <w:bCs/>
          <w:color w:val="000000" w:themeColor="text1"/>
          <w:kern w:val="0"/>
          <w:sz w:val="32"/>
          <w:szCs w:val="32"/>
          <w:highlight w:val="none"/>
          <w14:textFill>
            <w14:solidFill>
              <w14:schemeClr w14:val="tx1"/>
            </w14:solidFill>
          </w14:textFill>
        </w:rPr>
        <w:t>预算追加，主要涉及人员变动经费</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lang w:eastAsia="zh-CN"/>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460.27</w:t>
      </w:r>
      <w:r>
        <w:rPr>
          <w:rFonts w:hint="eastAsia" w:ascii="仿宋_GB2312" w:eastAsia="仿宋_GB2312" w:cs="仿宋_GB2312"/>
          <w:bCs/>
          <w:kern w:val="0"/>
          <w:sz w:val="32"/>
          <w:szCs w:val="32"/>
        </w:rPr>
        <w:t>万元，其中：</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人员经费</w:t>
      </w:r>
      <w:r>
        <w:rPr>
          <w:rFonts w:hint="eastAsia" w:ascii="仿宋_GB2312" w:eastAsia="仿宋_GB2312" w:cs="仿宋_GB2312"/>
          <w:bCs/>
          <w:kern w:val="0"/>
          <w:sz w:val="32"/>
          <w:szCs w:val="32"/>
          <w:lang w:val="en-US" w:eastAsia="zh-CN"/>
        </w:rPr>
        <w:t>436.01</w:t>
      </w:r>
      <w:r>
        <w:rPr>
          <w:rFonts w:hint="eastAsia" w:ascii="仿宋_GB2312" w:eastAsia="仿宋_GB2312" w:cs="仿宋_GB2312"/>
          <w:bCs/>
          <w:kern w:val="0"/>
          <w:sz w:val="32"/>
          <w:szCs w:val="32"/>
        </w:rPr>
        <w:t>万元，主要包括：基本工资、津贴补贴、伙食补助费、绩效工资、机关事业单位基本养老保险缴费、职业年金缴费、职工基本医疗保险缴费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其他社会保障缴费、其他工资福利支出、住房公积金；</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24.26</w:t>
      </w:r>
      <w:r>
        <w:rPr>
          <w:rFonts w:hint="eastAsia" w:ascii="仿宋_GB2312" w:eastAsia="仿宋_GB2312" w:cs="仿宋_GB2312"/>
          <w:bCs/>
          <w:kern w:val="0"/>
          <w:sz w:val="32"/>
          <w:szCs w:val="32"/>
        </w:rPr>
        <w:t>万元，主要包括：办公费、印刷费、咨询费、邮电费、差旅费、租赁费、培训费、劳务费、工会经费、其他交通费用、税金及附加费用、其他商品和服务支出</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bCs w:val="0"/>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 xml:space="preserve">（一）“三公”经费财政拨款支出决算总体情况 </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rPr>
        <w:t>2020 年度“三公”经费财政拨款支出预算为0.23万元，支出决算为0.23万元，完成预算的100%，其中：</w:t>
      </w:r>
      <w:r>
        <w:rPr>
          <w:rFonts w:hint="eastAsia" w:ascii="仿宋_GB2312" w:eastAsia="仿宋_GB2312" w:cs="仿宋_GB2312"/>
          <w:bCs/>
          <w:kern w:val="0"/>
          <w:sz w:val="32"/>
          <w:szCs w:val="32"/>
          <w:lang w:eastAsia="zh-CN"/>
        </w:rPr>
        <w:t>因公出国（境）费支出决算为</w:t>
      </w:r>
      <w:r>
        <w:rPr>
          <w:rFonts w:hint="eastAsia" w:ascii="仿宋_GB2312" w:eastAsia="仿宋_GB2312" w:cs="仿宋_GB2312"/>
          <w:bCs/>
          <w:kern w:val="0"/>
          <w:sz w:val="32"/>
          <w:szCs w:val="32"/>
          <w:lang w:val="en-US" w:eastAsia="zh-CN"/>
        </w:rPr>
        <w:t>0万元；</w:t>
      </w:r>
      <w:r>
        <w:rPr>
          <w:rFonts w:hint="eastAsia" w:ascii="仿宋_GB2312" w:eastAsia="仿宋_GB2312" w:cs="仿宋_GB2312"/>
          <w:bCs/>
          <w:kern w:val="0"/>
          <w:sz w:val="32"/>
          <w:szCs w:val="32"/>
        </w:rPr>
        <w:t>公务接待费支出决算为0.23万元，完成预算的100%</w:t>
      </w:r>
      <w:r>
        <w:rPr>
          <w:rFonts w:hint="eastAsia" w:ascii="仿宋_GB2312" w:eastAsia="仿宋_GB2312" w:cs="仿宋_GB2312"/>
          <w:bCs/>
          <w:kern w:val="0"/>
          <w:sz w:val="32"/>
          <w:szCs w:val="32"/>
          <w:lang w:eastAsia="zh-CN"/>
        </w:rPr>
        <w:t>；公务用车购置及运行费支出决算为</w:t>
      </w:r>
      <w:r>
        <w:rPr>
          <w:rFonts w:hint="eastAsia" w:ascii="仿宋_GB2312" w:eastAsia="仿宋_GB2312" w:cs="仿宋_GB2312"/>
          <w:bCs/>
          <w:kern w:val="0"/>
          <w:sz w:val="32"/>
          <w:szCs w:val="32"/>
          <w:lang w:val="en-US" w:eastAsia="zh-CN"/>
        </w:rPr>
        <w:t>0万元</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2020年度“三公”经费支出决算数等于预算数的主要原因是按预算执行。</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0.03</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15</w:t>
      </w:r>
      <w:r>
        <w:rPr>
          <w:rFonts w:hint="eastAsia" w:ascii="仿宋_GB2312" w:eastAsia="仿宋_GB2312" w:cs="仿宋_GB2312"/>
          <w:bCs/>
          <w:kern w:val="0"/>
          <w:sz w:val="32"/>
          <w:szCs w:val="32"/>
        </w:rPr>
        <w:t>%，其中：</w:t>
      </w:r>
      <w:r>
        <w:rPr>
          <w:rFonts w:hint="eastAsia" w:ascii="仿宋_GB2312" w:eastAsia="仿宋_GB2312" w:cs="仿宋_GB2312"/>
          <w:bCs/>
          <w:kern w:val="0"/>
          <w:sz w:val="32"/>
          <w:szCs w:val="32"/>
          <w:lang w:val="en-US" w:eastAsia="zh-CN"/>
        </w:rPr>
        <w:t>因公出国（境）费支出0万元；公务用车购置及运行费支出0万元；</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0.03</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15</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因公出国（境）费支出减少的主要原因是：无预算，无支出；公务用车购置及运行费支出减少的主要原因是：无预算，无支出；</w:t>
      </w:r>
      <w:r>
        <w:rPr>
          <w:rFonts w:hint="eastAsia" w:ascii="仿宋_GB2312" w:eastAsia="仿宋_GB2312" w:cs="仿宋_GB2312"/>
          <w:bCs/>
          <w:kern w:val="0"/>
          <w:sz w:val="32"/>
          <w:szCs w:val="32"/>
          <w:lang w:eastAsia="zh-CN"/>
        </w:rPr>
        <w:t>公务接待费支出增加的主要原因是</w:t>
      </w:r>
      <w:r>
        <w:rPr>
          <w:rFonts w:hint="eastAsia" w:ascii="仿宋_GB2312" w:eastAsia="仿宋_GB2312" w:cs="仿宋_GB2312"/>
          <w:bCs/>
          <w:kern w:val="0"/>
          <w:sz w:val="32"/>
          <w:szCs w:val="32"/>
          <w:lang w:val="en-US" w:eastAsia="zh-CN"/>
        </w:rPr>
        <w:t>2020年度我单位</w:t>
      </w:r>
      <w:r>
        <w:rPr>
          <w:rFonts w:hint="eastAsia" w:ascii="仿宋_GB2312" w:eastAsia="仿宋_GB2312" w:cs="仿宋_GB2312"/>
          <w:bCs/>
          <w:kern w:val="0"/>
          <w:sz w:val="32"/>
          <w:szCs w:val="32"/>
          <w:lang w:eastAsia="zh-CN"/>
        </w:rPr>
        <w:t>新进一批人员，费用支出相应增长。</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2020年度“三公”经费财政拨款支出决算中，因公出国（境）费支出0万元；公务用车购置及运行费支出0万元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val="en-US" w:eastAsia="zh-CN"/>
        </w:rPr>
        <w:t>0.23</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 xml:space="preserve">%。具体情况如下：  </w:t>
      </w:r>
    </w:p>
    <w:p>
      <w:pPr>
        <w:autoSpaceDE w:val="0"/>
        <w:autoSpaceDN w:val="0"/>
        <w:adjustRightInd w:val="0"/>
        <w:spacing w:line="580" w:lineRule="exact"/>
        <w:ind w:firstLine="64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.因公出国（境）费支出0万元</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公务用车购置及运行费支出0万元</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公务接待费支出</w:t>
      </w:r>
      <w:r>
        <w:rPr>
          <w:rFonts w:hint="eastAsia" w:ascii="仿宋_GB2312" w:eastAsia="仿宋_GB2312" w:cs="仿宋_GB2312"/>
          <w:bCs/>
          <w:kern w:val="0"/>
          <w:sz w:val="32"/>
          <w:szCs w:val="32"/>
          <w:lang w:val="en-US" w:eastAsia="zh-CN"/>
        </w:rPr>
        <w:t>0.23</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外宾接待支出0万元。</w:t>
      </w:r>
    </w:p>
    <w:p>
      <w:pPr>
        <w:autoSpaceDE w:val="0"/>
        <w:autoSpaceDN w:val="0"/>
        <w:adjustRightInd w:val="0"/>
        <w:spacing w:line="580" w:lineRule="exact"/>
        <w:ind w:firstLine="640"/>
        <w:jc w:val="left"/>
        <w:rPr>
          <w:rFonts w:hint="eastAsia" w:ascii="仿宋_GB2312" w:eastAsia="仿宋_GB2312" w:cs="仿宋_GB2312"/>
          <w:bCs/>
          <w:kern w:val="0"/>
          <w:sz w:val="32"/>
          <w:szCs w:val="32"/>
          <w:highlight w:val="yellow"/>
        </w:rPr>
      </w:pPr>
      <w:r>
        <w:rPr>
          <w:rFonts w:hint="eastAsia" w:ascii="仿宋_GB2312" w:hAnsi="仿宋" w:eastAsia="仿宋_GB2312"/>
          <w:sz w:val="32"/>
          <w:szCs w:val="32"/>
          <w:lang w:val="en-US" w:eastAsia="zh-CN"/>
        </w:rPr>
        <w:t>国内公务接待支出0.23万元。主要用于业务往来交流接待。2020年共接待国内来访团3批次</w:t>
      </w:r>
      <w:r>
        <w:rPr>
          <w:rFonts w:hint="eastAsia" w:ascii="仿宋_GB2312" w:hAnsi="仿宋" w:eastAsia="仿宋_GB2312"/>
          <w:sz w:val="32"/>
          <w:szCs w:val="32"/>
          <w:highlight w:val="none"/>
          <w:lang w:val="en-US" w:eastAsia="zh-CN"/>
        </w:rPr>
        <w:t>，来宾33人次</w:t>
      </w:r>
      <w:r>
        <w:rPr>
          <w:rFonts w:hint="eastAsia" w:ascii="仿宋_GB2312" w:eastAsia="仿宋_GB2312" w:cs="仿宋_GB2312"/>
          <w:bCs/>
          <w:kern w:val="0"/>
          <w:sz w:val="32"/>
          <w:szCs w:val="32"/>
          <w:highlight w:val="none"/>
        </w:rPr>
        <w:t xml:space="preserve">。   </w:t>
      </w:r>
    </w:p>
    <w:p>
      <w:pPr>
        <w:autoSpaceDE w:val="0"/>
        <w:autoSpaceDN w:val="0"/>
        <w:adjustRightInd w:val="0"/>
        <w:spacing w:line="580" w:lineRule="exact"/>
        <w:ind w:firstLine="640"/>
        <w:jc w:val="left"/>
        <w:rPr>
          <w:rFonts w:ascii="仿宋_GB2312" w:eastAsia="仿宋_GB2312" w:cs="仿宋_GB2312"/>
          <w:bCs/>
          <w:kern w:val="0"/>
          <w:sz w:val="32"/>
          <w:szCs w:val="32"/>
        </w:rPr>
      </w:pPr>
      <w:r>
        <w:rPr>
          <w:rFonts w:hint="eastAsia" w:ascii="仿宋_GB2312" w:eastAsia="仿宋_GB2312" w:cs="仿宋_GB2312"/>
          <w:b/>
          <w:bCs w:val="0"/>
          <w:kern w:val="0"/>
          <w:sz w:val="32"/>
          <w:szCs w:val="32"/>
        </w:rPr>
        <w:t>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本部门2020年度</w:t>
      </w:r>
      <w:r>
        <w:rPr>
          <w:rFonts w:hint="eastAsia" w:ascii="仿宋_GB2312" w:eastAsia="仿宋_GB2312" w:cs="仿宋_GB2312"/>
          <w:bCs/>
          <w:kern w:val="0"/>
          <w:sz w:val="32"/>
          <w:szCs w:val="32"/>
          <w:lang w:eastAsia="zh-CN"/>
        </w:rPr>
        <w:t>无</w:t>
      </w:r>
      <w:r>
        <w:rPr>
          <w:rFonts w:hint="eastAsia" w:ascii="仿宋_GB2312" w:eastAsia="仿宋_GB2312" w:cs="仿宋_GB2312"/>
          <w:bCs/>
          <w:kern w:val="0"/>
          <w:sz w:val="32"/>
          <w:szCs w:val="32"/>
        </w:rPr>
        <w:t>政府基金预算财政拨款</w:t>
      </w:r>
      <w:r>
        <w:rPr>
          <w:rFonts w:hint="eastAsia" w:ascii="仿宋_GB2312" w:eastAsia="仿宋_GB2312" w:cs="仿宋_GB2312"/>
          <w:bCs/>
          <w:kern w:val="0"/>
          <w:sz w:val="32"/>
          <w:szCs w:val="32"/>
          <w:lang w:eastAsia="zh-CN"/>
        </w:rPr>
        <w:t>收入和支出。</w:t>
      </w:r>
    </w:p>
    <w:p>
      <w:pPr>
        <w:numPr>
          <w:ilvl w:val="0"/>
          <w:numId w:val="1"/>
        </w:numPr>
        <w:autoSpaceDE w:val="0"/>
        <w:autoSpaceDN w:val="0"/>
        <w:adjustRightInd w:val="0"/>
        <w:spacing w:line="580" w:lineRule="exact"/>
        <w:ind w:left="-13" w:leftChars="0" w:firstLine="643" w:firstLineChars="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 w:val="0"/>
          <w:bCs/>
          <w:kern w:val="0"/>
          <w:sz w:val="32"/>
          <w:szCs w:val="32"/>
          <w:highlight w:val="yellow"/>
          <w:lang w:val="en-US" w:eastAsia="zh-CN"/>
        </w:rPr>
      </w:pPr>
      <w:r>
        <w:rPr>
          <w:rFonts w:hint="eastAsia" w:ascii="仿宋_GB2312" w:eastAsia="仿宋_GB2312" w:cs="仿宋_GB2312"/>
          <w:bCs/>
          <w:color w:val="auto"/>
          <w:kern w:val="0"/>
          <w:sz w:val="32"/>
          <w:szCs w:val="32"/>
          <w:highlight w:val="none"/>
        </w:rPr>
        <w:t>本部门</w:t>
      </w:r>
      <w:r>
        <w:rPr>
          <w:rFonts w:hint="eastAsia" w:ascii="仿宋_GB2312" w:eastAsia="仿宋_GB2312" w:cs="仿宋_GB2312"/>
          <w:b w:val="0"/>
          <w:bCs/>
          <w:color w:val="auto"/>
          <w:kern w:val="0"/>
          <w:sz w:val="32"/>
          <w:szCs w:val="32"/>
          <w:highlight w:val="none"/>
          <w:lang w:val="en-US" w:eastAsia="zh-CN"/>
        </w:rPr>
        <w:t>2020年度无国有资本经营预算财政拨款</w:t>
      </w:r>
      <w:r>
        <w:rPr>
          <w:rFonts w:hint="eastAsia" w:ascii="仿宋_GB2312" w:eastAsia="仿宋_GB2312" w:cs="仿宋_GB2312"/>
          <w:bCs/>
          <w:color w:val="auto"/>
          <w:kern w:val="0"/>
          <w:sz w:val="32"/>
          <w:szCs w:val="32"/>
          <w:highlight w:val="none"/>
          <w:lang w:eastAsia="zh-CN"/>
        </w:rPr>
        <w:t>收入和支出</w:t>
      </w:r>
      <w:r>
        <w:rPr>
          <w:rFonts w:hint="eastAsia" w:ascii="仿宋_GB2312" w:eastAsia="仿宋_GB2312" w:cs="仿宋_GB2312"/>
          <w:b w:val="0"/>
          <w:bCs/>
          <w:color w:val="auto"/>
          <w:kern w:val="0"/>
          <w:sz w:val="32"/>
          <w:szCs w:val="32"/>
          <w:highlight w:val="none"/>
          <w:lang w:val="en-US"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根据财政预算管理要求，我部门组织对</w:t>
      </w:r>
      <w:r>
        <w:rPr>
          <w:rFonts w:hint="eastAsia" w:ascii="仿宋_GB2312" w:eastAsia="仿宋_GB2312" w:cs="仿宋_GB2312"/>
          <w:bCs/>
          <w:kern w:val="0"/>
          <w:sz w:val="32"/>
          <w:szCs w:val="32"/>
          <w:lang w:val="en-US" w:eastAsia="zh-CN"/>
        </w:rPr>
        <w:t>2020</w:t>
      </w:r>
      <w:r>
        <w:rPr>
          <w:rFonts w:hint="eastAsia" w:ascii="仿宋_GB2312" w:eastAsia="仿宋_GB2312" w:cs="仿宋_GB2312"/>
          <w:bCs/>
          <w:kern w:val="0"/>
          <w:sz w:val="32"/>
          <w:szCs w:val="32"/>
        </w:rPr>
        <w:t>年度一般公共预算整体支出和项目支出全面开展绩效自评。</w:t>
      </w:r>
      <w:r>
        <w:rPr>
          <w:rFonts w:hint="eastAsia" w:ascii="仿宋_GB2312" w:eastAsia="仿宋_GB2312" w:cs="仿宋_GB2312"/>
          <w:bCs/>
          <w:kern w:val="0"/>
          <w:sz w:val="32"/>
          <w:szCs w:val="32"/>
          <w:lang w:eastAsia="zh-CN"/>
        </w:rPr>
        <w:t>其中，</w:t>
      </w:r>
      <w:r>
        <w:rPr>
          <w:rFonts w:hint="eastAsia" w:ascii="仿宋_GB2312" w:eastAsia="仿宋_GB2312" w:cs="仿宋_GB2312"/>
          <w:bCs/>
          <w:kern w:val="0"/>
          <w:sz w:val="32"/>
          <w:szCs w:val="32"/>
        </w:rPr>
        <w:t>涉及项目</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个，涉及预算资金</w:t>
      </w:r>
      <w:r>
        <w:rPr>
          <w:rFonts w:hint="eastAsia" w:ascii="仿宋_GB2312" w:eastAsia="仿宋_GB2312" w:cs="仿宋_GB2312"/>
          <w:bCs/>
          <w:kern w:val="0"/>
          <w:sz w:val="32"/>
          <w:szCs w:val="32"/>
          <w:lang w:val="en-US" w:eastAsia="zh-CN"/>
        </w:rPr>
        <w:t>208.33</w:t>
      </w:r>
      <w:r>
        <w:rPr>
          <w:rFonts w:hint="eastAsia" w:ascii="仿宋_GB2312" w:eastAsia="仿宋_GB2312" w:cs="仿宋_GB2312"/>
          <w:bCs/>
          <w:kern w:val="0"/>
          <w:sz w:val="32"/>
          <w:szCs w:val="32"/>
        </w:rPr>
        <w:t xml:space="preserve">万元，自评覆盖率达到100%。 </w:t>
      </w:r>
    </w:p>
    <w:p>
      <w:pPr>
        <w:numPr>
          <w:ilvl w:val="0"/>
          <w:numId w:val="2"/>
        </w:numPr>
        <w:autoSpaceDE w:val="0"/>
        <w:autoSpaceDN w:val="0"/>
        <w:adjustRightInd w:val="0"/>
        <w:spacing w:line="580" w:lineRule="exact"/>
        <w:ind w:left="0" w:leftChars="0"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部门决算中项目绩效自评结果。</w:t>
      </w:r>
    </w:p>
    <w:p>
      <w:pPr>
        <w:numPr>
          <w:ilvl w:val="0"/>
          <w:numId w:val="3"/>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“绿化养护”项目自评综述：根据年初设定的绩效目标，项目自评得分为98分</w:t>
      </w:r>
      <w:r>
        <w:rPr>
          <w:rFonts w:hint="eastAsia" w:ascii="仿宋_GB2312" w:eastAsia="仿宋_GB2312" w:cs="仿宋_GB2312"/>
          <w:bCs/>
          <w:kern w:val="0"/>
          <w:sz w:val="32"/>
          <w:szCs w:val="32"/>
        </w:rPr>
        <w:t>。项目绩效目标完成情况：</w:t>
      </w:r>
      <w:r>
        <w:rPr>
          <w:rFonts w:hint="eastAsia" w:ascii="仿宋_GB2312" w:eastAsia="仿宋_GB2312" w:cs="仿宋_GB2312"/>
          <w:bCs/>
          <w:kern w:val="0"/>
          <w:sz w:val="32"/>
          <w:szCs w:val="32"/>
          <w:lang w:eastAsia="zh-CN"/>
        </w:rPr>
        <w:t>项目主要用于</w:t>
      </w:r>
      <w:r>
        <w:rPr>
          <w:rFonts w:hint="eastAsia" w:ascii="仿宋_GB2312" w:eastAsia="仿宋_GB2312" w:cs="仿宋_GB2312"/>
          <w:bCs/>
          <w:kern w:val="0"/>
          <w:sz w:val="32"/>
          <w:szCs w:val="32"/>
        </w:rPr>
        <w:t>苗木种植和养护，提升三门江公园和古亭山公园的景观提升</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花卉的摆放，营造了优美的环境和喜庆的节日气氛，为游客提供了舒适的森林资源环境。发现的主要问题</w:t>
      </w:r>
      <w:r>
        <w:rPr>
          <w:rFonts w:hint="eastAsia" w:ascii="仿宋_GB2312" w:eastAsia="仿宋_GB2312" w:cs="仿宋_GB2312"/>
          <w:bCs/>
          <w:kern w:val="0"/>
          <w:sz w:val="32"/>
          <w:szCs w:val="32"/>
          <w:lang w:eastAsia="zh-CN"/>
        </w:rPr>
        <w:t>是按预算执行，合同于2021年3月18日到期，验收合格后，按合同支付尾款。下一步改进措施：按合同执行。</w:t>
      </w:r>
    </w:p>
    <w:p>
      <w:pPr>
        <w:autoSpaceDE w:val="0"/>
        <w:autoSpaceDN w:val="0"/>
        <w:adjustRightInd w:val="0"/>
        <w:spacing w:line="580" w:lineRule="exact"/>
        <w:ind w:firstLine="640" w:firstLineChars="200"/>
        <w:jc w:val="left"/>
        <w:rPr>
          <w:rFonts w:hint="eastAsia" w:ascii="仿宋_GB2312" w:eastAsia="仿宋_GB2312" w:cs="仿宋_GB2312"/>
          <w:b/>
          <w:kern w:val="0"/>
          <w:sz w:val="32"/>
          <w:szCs w:val="32"/>
        </w:rPr>
      </w:pPr>
      <w:r>
        <w:rPr>
          <w:rFonts w:hint="eastAsia" w:ascii="仿宋_GB2312" w:eastAsia="仿宋_GB2312" w:cs="仿宋_GB2312"/>
          <w:bCs/>
          <w:kern w:val="0"/>
          <w:sz w:val="32"/>
          <w:szCs w:val="32"/>
          <w:lang w:eastAsia="zh-CN"/>
        </w:rPr>
        <w:drawing>
          <wp:anchor distT="0" distB="0" distL="114300" distR="114300" simplePos="0" relativeHeight="251659264" behindDoc="0" locked="0" layoutInCell="1" allowOverlap="1">
            <wp:simplePos x="0" y="0"/>
            <wp:positionH relativeFrom="column">
              <wp:posOffset>-127000</wp:posOffset>
            </wp:positionH>
            <wp:positionV relativeFrom="paragraph">
              <wp:posOffset>113665</wp:posOffset>
            </wp:positionV>
            <wp:extent cx="5887720" cy="3562985"/>
            <wp:effectExtent l="0" t="0" r="17780" b="18415"/>
            <wp:wrapSquare wrapText="bothSides"/>
            <wp:docPr id="3" name="图片 3" descr="16278699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27869974(1)"/>
                    <pic:cNvPicPr>
                      <a:picLocks noChangeAspect="1"/>
                    </pic:cNvPicPr>
                  </pic:nvPicPr>
                  <pic:blipFill>
                    <a:blip r:embed="rId12"/>
                    <a:stretch>
                      <a:fillRect/>
                    </a:stretch>
                  </pic:blipFill>
                  <pic:spPr>
                    <a:xfrm>
                      <a:off x="0" y="0"/>
                      <a:ext cx="5887720" cy="3562985"/>
                    </a:xfrm>
                    <a:prstGeom prst="rect">
                      <a:avLst/>
                    </a:prstGeom>
                  </pic:spPr>
                </pic:pic>
              </a:graphicData>
            </a:graphic>
          </wp:anchor>
        </w:drawing>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highlight w:val="none"/>
        </w:rPr>
        <w:t>（一）</w:t>
      </w:r>
      <w:r>
        <w:rPr>
          <w:rFonts w:hint="eastAsia" w:ascii="仿宋_GB2312" w:eastAsia="仿宋_GB2312" w:cs="仿宋_GB2312"/>
          <w:kern w:val="0"/>
          <w:sz w:val="32"/>
          <w:szCs w:val="32"/>
          <w:highlight w:val="none"/>
          <w:lang w:eastAsia="zh-CN"/>
        </w:rPr>
        <w:t>事业单位</w:t>
      </w:r>
      <w:r>
        <w:rPr>
          <w:rFonts w:hint="eastAsia" w:ascii="仿宋_GB2312" w:eastAsia="仿宋_GB2312" w:cs="仿宋_GB2312"/>
          <w:kern w:val="0"/>
          <w:sz w:val="32"/>
          <w:szCs w:val="32"/>
          <w:highlight w:val="none"/>
        </w:rPr>
        <w:t>运行经费支出情况。2020年度部门运行经费支出</w:t>
      </w:r>
      <w:r>
        <w:rPr>
          <w:rFonts w:hint="eastAsia" w:ascii="仿宋_GB2312" w:eastAsia="仿宋_GB2312" w:cs="仿宋_GB2312"/>
          <w:kern w:val="0"/>
          <w:sz w:val="32"/>
          <w:szCs w:val="32"/>
          <w:highlight w:val="none"/>
          <w:lang w:val="en-US" w:eastAsia="zh-CN"/>
        </w:rPr>
        <w:t>91.38</w:t>
      </w:r>
      <w:r>
        <w:rPr>
          <w:rFonts w:hint="eastAsia" w:ascii="仿宋_GB2312" w:eastAsia="仿宋_GB2312" w:cs="仿宋_GB2312"/>
          <w:kern w:val="0"/>
          <w:sz w:val="32"/>
          <w:szCs w:val="32"/>
          <w:highlight w:val="none"/>
        </w:rPr>
        <w:t>万元，比 2</w:t>
      </w:r>
      <w:r>
        <w:rPr>
          <w:rFonts w:hint="eastAsia" w:ascii="仿宋_GB2312" w:eastAsia="仿宋_GB2312" w:cs="仿宋_GB2312"/>
          <w:kern w:val="0"/>
          <w:sz w:val="32"/>
          <w:szCs w:val="32"/>
        </w:rPr>
        <w:t xml:space="preserve">019年增加 </w:t>
      </w:r>
      <w:r>
        <w:rPr>
          <w:rFonts w:hint="eastAsia" w:ascii="仿宋_GB2312" w:eastAsia="仿宋_GB2312" w:cs="仿宋_GB2312"/>
          <w:kern w:val="0"/>
          <w:sz w:val="32"/>
          <w:szCs w:val="32"/>
          <w:lang w:val="en-US" w:eastAsia="zh-CN"/>
        </w:rPr>
        <w:t>45.41</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98</w:t>
      </w:r>
      <w:r>
        <w:rPr>
          <w:rFonts w:hint="eastAsia" w:ascii="仿宋_GB2312" w:eastAsia="仿宋_GB2312" w:cs="仿宋_GB2312"/>
          <w:kern w:val="0"/>
          <w:sz w:val="32"/>
          <w:szCs w:val="32"/>
        </w:rPr>
        <w:t xml:space="preserve"> %，增</w:t>
      </w:r>
      <w:r>
        <w:rPr>
          <w:rFonts w:hint="eastAsia" w:ascii="仿宋_GB2312" w:eastAsia="仿宋_GB2312" w:cs="仿宋_GB2312"/>
          <w:kern w:val="0"/>
          <w:sz w:val="32"/>
          <w:szCs w:val="32"/>
          <w:lang w:eastAsia="zh-CN"/>
        </w:rPr>
        <w:t>长</w:t>
      </w:r>
      <w:r>
        <w:rPr>
          <w:rFonts w:hint="eastAsia" w:ascii="仿宋_GB2312" w:eastAsia="仿宋_GB2312" w:cs="仿宋_GB2312"/>
          <w:kern w:val="0"/>
          <w:sz w:val="32"/>
          <w:szCs w:val="32"/>
        </w:rPr>
        <w:t>原因</w:t>
      </w:r>
      <w:r>
        <w:rPr>
          <w:rFonts w:hint="eastAsia" w:ascii="仿宋_GB2312" w:eastAsia="仿宋_GB2312" w:cs="仿宋_GB2312"/>
          <w:kern w:val="0"/>
          <w:sz w:val="32"/>
          <w:szCs w:val="32"/>
          <w:lang w:eastAsia="zh-CN"/>
        </w:rPr>
        <w:t>是单位机构改革后，为了保障单位正常运行，</w:t>
      </w:r>
      <w:r>
        <w:rPr>
          <w:rFonts w:hint="eastAsia" w:ascii="仿宋_GB2312" w:eastAsia="仿宋_GB2312" w:cs="仿宋_GB2312"/>
          <w:kern w:val="0"/>
          <w:sz w:val="32"/>
          <w:szCs w:val="32"/>
          <w:lang w:val="en-US" w:eastAsia="zh-CN"/>
        </w:rPr>
        <w:t>2020年新增</w:t>
      </w:r>
      <w:r>
        <w:rPr>
          <w:rFonts w:hint="eastAsia" w:ascii="仿宋_GB2312" w:eastAsia="仿宋_GB2312" w:cs="仿宋_GB2312"/>
          <w:kern w:val="0"/>
          <w:sz w:val="32"/>
          <w:szCs w:val="32"/>
          <w:lang w:eastAsia="zh-CN"/>
        </w:rPr>
        <w:t>业务用房租赁以及新进一批人员，费用相应增长</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 762.1 万元，其中：货物支出66.41万元、工程支出49.82万元、服务支出645.87万元。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（三）国有资产占用情况。截至年末部门共有车辆</w:t>
      </w:r>
      <w:r>
        <w:rPr>
          <w:rFonts w:hint="eastAsia" w:ascii="仿宋_GB2312" w:eastAsia="仿宋_GB2312" w:cs="仿宋_GB2312"/>
          <w:kern w:val="0"/>
          <w:sz w:val="32"/>
          <w:szCs w:val="32"/>
          <w:lang w:val="en-US" w:eastAsia="zh-CN"/>
        </w:rPr>
        <w:t>9</w:t>
      </w:r>
      <w:r>
        <w:rPr>
          <w:rFonts w:hint="eastAsia" w:ascii="仿宋_GB2312" w:eastAsia="仿宋_GB2312" w:cs="仿宋_GB2312"/>
          <w:kern w:val="0"/>
          <w:sz w:val="32"/>
          <w:szCs w:val="32"/>
        </w:rPr>
        <w:t>辆，其中：特种专业技术用车2辆，货车2辆，业务用车1辆</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 xml:space="preserve">场内观光车4辆。根据《柳州市发展和改革委员会关于&lt;柳州市莲花山保护中心（柳州三门江国家森林公园管理处）公务用车制度改革实施方案&gt;的批复》（柳发改体改〔2018〕53号），同意保留车辆。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4"/>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lang w:eastAsia="zh-CN"/>
        </w:rPr>
        <w:t>事业单位</w:t>
      </w:r>
      <w:r>
        <w:rPr>
          <w:rFonts w:hint="eastAsia" w:ascii="仿宋_GB2312" w:eastAsia="仿宋_GB2312"/>
          <w:bCs/>
          <w:sz w:val="32"/>
          <w:szCs w:val="32"/>
        </w:rPr>
        <w:t>运行经费：为保障单位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MingLiU">
    <w:panose1 w:val="02020509000000000000"/>
    <w:charset w:val="88"/>
    <w:family w:val="modern"/>
    <w:pitch w:val="default"/>
    <w:sig w:usb0="A00002FF" w:usb1="28CFFCFA" w:usb2="00000016" w:usb3="00000000" w:csb0="0010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pPr>
        <w:ind w:left="-13"/>
      </w:pPr>
      <w:rPr>
        <w:rFonts w:hint="eastAsia"/>
      </w:rPr>
    </w:lvl>
  </w:abstractNum>
  <w:abstractNum w:abstractNumId="1">
    <w:nsid w:val="BF35E1C9"/>
    <w:multiLevelType w:val="singleLevel"/>
    <w:tmpl w:val="BF35E1C9"/>
    <w:lvl w:ilvl="0" w:tentative="0">
      <w:start w:val="1"/>
      <w:numFmt w:val="decimal"/>
      <w:lvlText w:val="%1."/>
      <w:lvlJc w:val="left"/>
      <w:pPr>
        <w:tabs>
          <w:tab w:val="left" w:pos="312"/>
        </w:tabs>
      </w:pPr>
    </w:lvl>
  </w:abstractNum>
  <w:abstractNum w:abstractNumId="2">
    <w:nsid w:val="5B3C894F"/>
    <w:multiLevelType w:val="singleLevel"/>
    <w:tmpl w:val="5B3C894F"/>
    <w:lvl w:ilvl="0" w:tentative="0">
      <w:start w:val="1"/>
      <w:numFmt w:val="chineseCounting"/>
      <w:suff w:val="nothing"/>
      <w:lvlText w:val="（%1）"/>
      <w:lvlJc w:val="left"/>
    </w:lvl>
  </w:abstractNum>
  <w:abstractNum w:abstractNumId="3">
    <w:nsid w:val="5B3C8BA7"/>
    <w:multiLevelType w:val="singleLevel"/>
    <w:tmpl w:val="5B3C8BA7"/>
    <w:lvl w:ilvl="0" w:tentative="0">
      <w:start w:val="1"/>
      <w:numFmt w:val="chineseCounting"/>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5A6D08"/>
    <w:rsid w:val="006C1367"/>
    <w:rsid w:val="00715385"/>
    <w:rsid w:val="00F62338"/>
    <w:rsid w:val="00F66C5B"/>
    <w:rsid w:val="01DB711A"/>
    <w:rsid w:val="029B12B4"/>
    <w:rsid w:val="03BC0598"/>
    <w:rsid w:val="04BE68B6"/>
    <w:rsid w:val="0549208C"/>
    <w:rsid w:val="05DE2DB1"/>
    <w:rsid w:val="08E30445"/>
    <w:rsid w:val="09D12B75"/>
    <w:rsid w:val="0A6125BA"/>
    <w:rsid w:val="0A751AFB"/>
    <w:rsid w:val="0E074DDF"/>
    <w:rsid w:val="0E3762FD"/>
    <w:rsid w:val="10E21B30"/>
    <w:rsid w:val="111733C2"/>
    <w:rsid w:val="124204B5"/>
    <w:rsid w:val="12632523"/>
    <w:rsid w:val="1322597E"/>
    <w:rsid w:val="13F22A6F"/>
    <w:rsid w:val="144F1127"/>
    <w:rsid w:val="145D6727"/>
    <w:rsid w:val="14825547"/>
    <w:rsid w:val="15431060"/>
    <w:rsid w:val="15513C66"/>
    <w:rsid w:val="15983980"/>
    <w:rsid w:val="15AF7406"/>
    <w:rsid w:val="165E175D"/>
    <w:rsid w:val="1816111E"/>
    <w:rsid w:val="182962AB"/>
    <w:rsid w:val="18866FBC"/>
    <w:rsid w:val="195E5138"/>
    <w:rsid w:val="19D073EB"/>
    <w:rsid w:val="1ADD6548"/>
    <w:rsid w:val="1B7F1A32"/>
    <w:rsid w:val="1CC31F67"/>
    <w:rsid w:val="1D171751"/>
    <w:rsid w:val="1D300875"/>
    <w:rsid w:val="1E81751B"/>
    <w:rsid w:val="1E914FF2"/>
    <w:rsid w:val="1F871176"/>
    <w:rsid w:val="20D456BB"/>
    <w:rsid w:val="22D408E4"/>
    <w:rsid w:val="23352739"/>
    <w:rsid w:val="23903813"/>
    <w:rsid w:val="23B12D43"/>
    <w:rsid w:val="24D337DC"/>
    <w:rsid w:val="26460DBA"/>
    <w:rsid w:val="27B12218"/>
    <w:rsid w:val="28FF2955"/>
    <w:rsid w:val="29480C5F"/>
    <w:rsid w:val="2A1539E8"/>
    <w:rsid w:val="2A8238F4"/>
    <w:rsid w:val="2B6F74EB"/>
    <w:rsid w:val="2B916312"/>
    <w:rsid w:val="2BB01BA0"/>
    <w:rsid w:val="2C4219FE"/>
    <w:rsid w:val="309D3D75"/>
    <w:rsid w:val="30C00F44"/>
    <w:rsid w:val="315B5F97"/>
    <w:rsid w:val="31BA142E"/>
    <w:rsid w:val="324A26F0"/>
    <w:rsid w:val="325866AE"/>
    <w:rsid w:val="32867678"/>
    <w:rsid w:val="334033BB"/>
    <w:rsid w:val="34020F86"/>
    <w:rsid w:val="34360FE3"/>
    <w:rsid w:val="35AF192E"/>
    <w:rsid w:val="364E3718"/>
    <w:rsid w:val="372906B4"/>
    <w:rsid w:val="37B33E45"/>
    <w:rsid w:val="38B71C71"/>
    <w:rsid w:val="38BA07ED"/>
    <w:rsid w:val="39A63F06"/>
    <w:rsid w:val="39C75A4F"/>
    <w:rsid w:val="3AEF604A"/>
    <w:rsid w:val="3AFC2590"/>
    <w:rsid w:val="3C4D09DA"/>
    <w:rsid w:val="3C71365B"/>
    <w:rsid w:val="3D16101C"/>
    <w:rsid w:val="3E5C29B6"/>
    <w:rsid w:val="3ED1439F"/>
    <w:rsid w:val="3FC11CBC"/>
    <w:rsid w:val="40D63333"/>
    <w:rsid w:val="43F341AE"/>
    <w:rsid w:val="442C26CF"/>
    <w:rsid w:val="450A6061"/>
    <w:rsid w:val="45600D96"/>
    <w:rsid w:val="45637EA7"/>
    <w:rsid w:val="45EC43AA"/>
    <w:rsid w:val="46C81D3D"/>
    <w:rsid w:val="48374EDC"/>
    <w:rsid w:val="49455120"/>
    <w:rsid w:val="49633485"/>
    <w:rsid w:val="49823240"/>
    <w:rsid w:val="4C256E3D"/>
    <w:rsid w:val="4CB52F0F"/>
    <w:rsid w:val="4CCD14B5"/>
    <w:rsid w:val="4D4028C8"/>
    <w:rsid w:val="4E0872C4"/>
    <w:rsid w:val="4FF31694"/>
    <w:rsid w:val="51423ABD"/>
    <w:rsid w:val="51BC1893"/>
    <w:rsid w:val="51FC6284"/>
    <w:rsid w:val="53136BDE"/>
    <w:rsid w:val="5324245E"/>
    <w:rsid w:val="532F1F9A"/>
    <w:rsid w:val="5362334B"/>
    <w:rsid w:val="54AE4BA1"/>
    <w:rsid w:val="59937FBD"/>
    <w:rsid w:val="59995046"/>
    <w:rsid w:val="5B6E2EF0"/>
    <w:rsid w:val="5BBC1685"/>
    <w:rsid w:val="5CD218A3"/>
    <w:rsid w:val="5CFD670E"/>
    <w:rsid w:val="5D244CB4"/>
    <w:rsid w:val="5DC86102"/>
    <w:rsid w:val="5E995A3E"/>
    <w:rsid w:val="60BC2F2B"/>
    <w:rsid w:val="61B63A3E"/>
    <w:rsid w:val="62163194"/>
    <w:rsid w:val="624D024D"/>
    <w:rsid w:val="650E086A"/>
    <w:rsid w:val="6566250C"/>
    <w:rsid w:val="65B45875"/>
    <w:rsid w:val="664D28D4"/>
    <w:rsid w:val="684810BD"/>
    <w:rsid w:val="68836AB3"/>
    <w:rsid w:val="68ED0A34"/>
    <w:rsid w:val="691D4C03"/>
    <w:rsid w:val="6ADC5B99"/>
    <w:rsid w:val="6BAA0708"/>
    <w:rsid w:val="6CA00D50"/>
    <w:rsid w:val="6CD2390C"/>
    <w:rsid w:val="6D57122A"/>
    <w:rsid w:val="6DB923D2"/>
    <w:rsid w:val="6F0553DA"/>
    <w:rsid w:val="6FE411FE"/>
    <w:rsid w:val="704108CC"/>
    <w:rsid w:val="71990C74"/>
    <w:rsid w:val="71CF580F"/>
    <w:rsid w:val="72085732"/>
    <w:rsid w:val="724D3FA9"/>
    <w:rsid w:val="72EA1073"/>
    <w:rsid w:val="736A009E"/>
    <w:rsid w:val="74B92FF0"/>
    <w:rsid w:val="7A4738B1"/>
    <w:rsid w:val="7B996F72"/>
    <w:rsid w:val="7BAF6447"/>
    <w:rsid w:val="7BDC67AC"/>
    <w:rsid w:val="7C833DB3"/>
    <w:rsid w:val="7E305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font71"/>
    <w:basedOn w:val="6"/>
    <w:uiPriority w:val="0"/>
    <w:rPr>
      <w:rFonts w:hint="eastAsia" w:ascii="宋体" w:hAnsi="宋体" w:eastAsia="宋体" w:cs="宋体"/>
      <w:color w:val="000000"/>
      <w:sz w:val="18"/>
      <w:szCs w:val="18"/>
      <w:u w:val="none"/>
    </w:rPr>
  </w:style>
  <w:style w:type="character" w:customStyle="1" w:styleId="12">
    <w:name w:val="font31"/>
    <w:basedOn w:val="6"/>
    <w:uiPriority w:val="0"/>
    <w:rPr>
      <w:rFonts w:hint="eastAsia" w:ascii="宋体" w:hAnsi="宋体" w:eastAsia="宋体" w:cs="宋体"/>
      <w:color w:val="000000"/>
      <w:sz w:val="20"/>
      <w:szCs w:val="20"/>
      <w:u w:val="none"/>
    </w:rPr>
  </w:style>
  <w:style w:type="character" w:customStyle="1" w:styleId="13">
    <w:name w:val="font131"/>
    <w:basedOn w:val="6"/>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9</TotalTime>
  <ScaleCrop>false</ScaleCrop>
  <LinksUpToDate>false</LinksUpToDate>
  <CharactersWithSpaces>8540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Alice Miller</cp:lastModifiedBy>
  <cp:lastPrinted>2021-08-02T02:21:00Z</cp:lastPrinted>
  <dcterms:modified xsi:type="dcterms:W3CDTF">2021-08-04T00:49:16Z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8525ACE465E343D0910EF6BCBC818E3C</vt:lpwstr>
  </property>
</Properties>
</file>